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19" w:rsidRDefault="00746E37" w:rsidP="00B54BFE">
      <w:pPr>
        <w:framePr w:h="0" w:hSpace="141" w:wrap="around" w:vAnchor="text" w:hAnchor="page" w:x="9100" w:y="-561"/>
        <w:rPr>
          <w:rFonts w:ascii="Times New Roman" w:hAnsi="Times New Roman"/>
        </w:rPr>
      </w:pPr>
      <w:r w:rsidRPr="00153D41">
        <w:rPr>
          <w:rFonts w:ascii="Times New Roman" w:hAnsi="Times New Roman"/>
        </w:rPr>
        <w:object w:dxaOrig="2690" w:dyaOrig="4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4pt;height:141.8pt" o:ole="">
            <v:imagedata r:id="rId4" o:title=""/>
          </v:shape>
          <o:OLEObject Type="Embed" ProgID="MSDraw" ShapeID="_x0000_i1025" DrawAspect="Content" ObjectID="_1603085913" r:id="rId5">
            <o:FieldCodes>\* MERGEFORMAT</o:FieldCodes>
          </o:OLEObject>
        </w:object>
      </w:r>
    </w:p>
    <w:p w:rsidR="00D80219" w:rsidRDefault="00D80219">
      <w:pPr>
        <w:spacing w:after="120"/>
        <w:rPr>
          <w:rFonts w:ascii="Times New Roman" w:hAnsi="Times New Roman"/>
          <w:b/>
          <w:sz w:val="30"/>
          <w:szCs w:val="30"/>
        </w:rPr>
      </w:pPr>
    </w:p>
    <w:p w:rsidR="00D80219" w:rsidRDefault="00D80219">
      <w:pPr>
        <w:spacing w:after="1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PHILOSOPHISCHES SEMINAR</w:t>
      </w:r>
    </w:p>
    <w:p w:rsidR="00D80219" w:rsidRDefault="00D80219">
      <w:pPr>
        <w:spacing w:after="1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DER GEORG-AUGUST-UNIVERSITÄT GÖTTINGEN</w:t>
      </w:r>
    </w:p>
    <w:p w:rsidR="00D80219" w:rsidRDefault="00D802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Humboldtallee 19, 37073 Göttingen</w:t>
      </w:r>
    </w:p>
    <w:p w:rsidR="00D80219" w:rsidRDefault="00D80219">
      <w:pPr>
        <w:rPr>
          <w:rFonts w:ascii="Times New Roman" w:hAnsi="Times New Roman"/>
        </w:rPr>
      </w:pPr>
      <w:r>
        <w:rPr>
          <w:rFonts w:ascii="Times New Roman" w:hAnsi="Times New Roman"/>
        </w:rPr>
        <w:t>Tel. (0551)39-4774/-4742/-4722</w:t>
      </w:r>
    </w:p>
    <w:p w:rsidR="00D80219" w:rsidRDefault="00D80219">
      <w:pPr>
        <w:rPr>
          <w:rFonts w:ascii="Times New Roman" w:hAnsi="Times New Roman"/>
        </w:rPr>
      </w:pPr>
    </w:p>
    <w:p w:rsidR="00746E37" w:rsidRPr="00746E37" w:rsidRDefault="00D80219" w:rsidP="00746E37">
      <w:pPr>
        <w:tabs>
          <w:tab w:val="left" w:pos="6663"/>
        </w:tabs>
        <w:jc w:val="center"/>
        <w:rPr>
          <w:rFonts w:ascii="Times New Roman" w:hAnsi="Times New Roman"/>
          <w:b/>
          <w:sz w:val="32"/>
          <w:szCs w:val="32"/>
        </w:rPr>
      </w:pPr>
      <w:r w:rsidRPr="00FA2850">
        <w:rPr>
          <w:rFonts w:ascii="Times New Roman" w:hAnsi="Times New Roman"/>
          <w:sz w:val="16"/>
          <w:szCs w:val="16"/>
        </w:rPr>
        <w:br/>
      </w:r>
      <w:r w:rsidR="00746E37" w:rsidRPr="00746E37">
        <w:rPr>
          <w:rFonts w:ascii="Times New Roman" w:hAnsi="Times New Roman"/>
          <w:b/>
          <w:sz w:val="32"/>
          <w:szCs w:val="32"/>
        </w:rPr>
        <w:t xml:space="preserve">Im Rahmen des Kolloquiums der wissenschaftlichen Mitarbeiter des Philosophischen Seminars spricht am </w:t>
      </w:r>
    </w:p>
    <w:p w:rsidR="00746E37" w:rsidRPr="00746E37" w:rsidRDefault="00746E37" w:rsidP="00746E37">
      <w:pPr>
        <w:tabs>
          <w:tab w:val="left" w:pos="6663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D80219" w:rsidRPr="00746E37" w:rsidRDefault="002F09A2" w:rsidP="00746E37">
      <w:pPr>
        <w:tabs>
          <w:tab w:val="left" w:pos="6663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Mittwoch</w:t>
      </w:r>
      <w:r w:rsidR="00746E37" w:rsidRPr="00746E37">
        <w:rPr>
          <w:rFonts w:ascii="Times New Roman" w:hAnsi="Times New Roman"/>
          <w:b/>
          <w:sz w:val="32"/>
          <w:szCs w:val="32"/>
        </w:rPr>
        <w:t xml:space="preserve">, den </w:t>
      </w:r>
      <w:r w:rsidR="00F50F35">
        <w:rPr>
          <w:rFonts w:ascii="Times New Roman" w:hAnsi="Times New Roman"/>
          <w:b/>
          <w:sz w:val="32"/>
          <w:szCs w:val="32"/>
        </w:rPr>
        <w:t>21</w:t>
      </w:r>
      <w:r w:rsidR="00342289">
        <w:rPr>
          <w:rFonts w:ascii="Times New Roman" w:hAnsi="Times New Roman"/>
          <w:b/>
          <w:sz w:val="32"/>
          <w:szCs w:val="32"/>
        </w:rPr>
        <w:t>.</w:t>
      </w:r>
      <w:r w:rsidR="00F50F35">
        <w:rPr>
          <w:rFonts w:ascii="Times New Roman" w:hAnsi="Times New Roman"/>
          <w:b/>
          <w:sz w:val="32"/>
          <w:szCs w:val="32"/>
        </w:rPr>
        <w:t>11</w:t>
      </w:r>
      <w:r w:rsidR="003C0BF0">
        <w:rPr>
          <w:rFonts w:ascii="Times New Roman" w:hAnsi="Times New Roman"/>
          <w:b/>
          <w:sz w:val="32"/>
          <w:szCs w:val="32"/>
        </w:rPr>
        <w:t>.2018</w:t>
      </w:r>
    </w:p>
    <w:p w:rsidR="00746E37" w:rsidRDefault="00746E37" w:rsidP="00746E37">
      <w:pPr>
        <w:tabs>
          <w:tab w:val="left" w:pos="4395"/>
        </w:tabs>
        <w:jc w:val="center"/>
        <w:rPr>
          <w:rFonts w:ascii="Times New Roman" w:hAnsi="Times New Roman"/>
          <w:b/>
          <w:sz w:val="52"/>
          <w:szCs w:val="52"/>
        </w:rPr>
      </w:pPr>
    </w:p>
    <w:p w:rsidR="00746E37" w:rsidRDefault="00F50F35" w:rsidP="00746E37">
      <w:pPr>
        <w:tabs>
          <w:tab w:val="left" w:pos="4678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Jan </w:t>
      </w:r>
      <w:proofErr w:type="spellStart"/>
      <w:r>
        <w:rPr>
          <w:rFonts w:ascii="Times New Roman" w:hAnsi="Times New Roman"/>
          <w:b/>
          <w:sz w:val="48"/>
          <w:szCs w:val="48"/>
        </w:rPr>
        <w:t>Köpping</w:t>
      </w:r>
      <w:proofErr w:type="spellEnd"/>
    </w:p>
    <w:p w:rsidR="00F10B29" w:rsidRPr="00746E37" w:rsidRDefault="00F10B29" w:rsidP="00746E37">
      <w:pPr>
        <w:tabs>
          <w:tab w:val="left" w:pos="4678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8"/>
          <w:szCs w:val="48"/>
        </w:rPr>
        <w:t>(</w:t>
      </w:r>
      <w:r w:rsidR="006923BC">
        <w:rPr>
          <w:rFonts w:ascii="Times New Roman" w:hAnsi="Times New Roman"/>
          <w:b/>
          <w:sz w:val="48"/>
          <w:szCs w:val="48"/>
        </w:rPr>
        <w:t xml:space="preserve">Universität </w:t>
      </w:r>
      <w:r w:rsidR="00F50F35">
        <w:rPr>
          <w:rFonts w:ascii="Times New Roman" w:hAnsi="Times New Roman"/>
          <w:b/>
          <w:sz w:val="48"/>
          <w:szCs w:val="48"/>
        </w:rPr>
        <w:t>Göttingen</w:t>
      </w:r>
      <w:r>
        <w:rPr>
          <w:rFonts w:ascii="Times New Roman" w:hAnsi="Times New Roman"/>
          <w:b/>
          <w:sz w:val="48"/>
          <w:szCs w:val="48"/>
        </w:rPr>
        <w:t>)</w:t>
      </w:r>
    </w:p>
    <w:p w:rsidR="00D80219" w:rsidRPr="00FA2850" w:rsidRDefault="00D80219" w:rsidP="00746E37">
      <w:pPr>
        <w:tabs>
          <w:tab w:val="left" w:pos="4395"/>
        </w:tabs>
        <w:jc w:val="center"/>
        <w:rPr>
          <w:rFonts w:ascii="Times New Roman" w:hAnsi="Times New Roman"/>
          <w:b/>
          <w:sz w:val="30"/>
          <w:szCs w:val="30"/>
        </w:rPr>
      </w:pPr>
    </w:p>
    <w:p w:rsidR="00D80219" w:rsidRPr="00C579B2" w:rsidRDefault="00746E37" w:rsidP="00746E37">
      <w:pPr>
        <w:tabs>
          <w:tab w:val="left" w:pos="4678"/>
        </w:tabs>
        <w:jc w:val="center"/>
        <w:rPr>
          <w:rFonts w:ascii="Times New Roman" w:hAnsi="Times New Roman"/>
          <w:sz w:val="32"/>
          <w:szCs w:val="32"/>
        </w:rPr>
      </w:pPr>
      <w:r w:rsidRPr="00C579B2">
        <w:rPr>
          <w:rFonts w:ascii="Times New Roman" w:hAnsi="Times New Roman"/>
          <w:b/>
          <w:sz w:val="32"/>
          <w:szCs w:val="32"/>
        </w:rPr>
        <w:t>zu dem</w:t>
      </w:r>
      <w:r w:rsidR="00D80219" w:rsidRPr="00C579B2">
        <w:rPr>
          <w:rFonts w:ascii="Times New Roman" w:hAnsi="Times New Roman"/>
          <w:b/>
          <w:sz w:val="32"/>
          <w:szCs w:val="32"/>
        </w:rPr>
        <w:t xml:space="preserve"> Thema:</w:t>
      </w:r>
    </w:p>
    <w:p w:rsidR="005E774D" w:rsidRPr="00C579B2" w:rsidRDefault="005E774D" w:rsidP="00DF702E">
      <w:pPr>
        <w:tabs>
          <w:tab w:val="left" w:pos="4678"/>
        </w:tabs>
        <w:rPr>
          <w:rFonts w:ascii="Times New Roman" w:hAnsi="Times New Roman"/>
          <w:b/>
          <w:sz w:val="30"/>
          <w:szCs w:val="30"/>
        </w:rPr>
      </w:pPr>
    </w:p>
    <w:p w:rsidR="00D80219" w:rsidRPr="00F10B29" w:rsidRDefault="001D3001" w:rsidP="00F50F35">
      <w:pPr>
        <w:jc w:val="center"/>
      </w:pPr>
      <w:r w:rsidRPr="00C579B2">
        <w:rPr>
          <w:rFonts w:ascii="Times New Roman" w:hAnsi="Times New Roman"/>
          <w:b/>
          <w:i/>
          <w:sz w:val="48"/>
          <w:szCs w:val="48"/>
        </w:rPr>
        <w:t>„</w:t>
      </w:r>
      <w:r w:rsidR="00F50F35">
        <w:rPr>
          <w:rFonts w:ascii="Times New Roman" w:hAnsi="Times New Roman"/>
          <w:b/>
          <w:i/>
          <w:color w:val="000000"/>
          <w:sz w:val="48"/>
          <w:szCs w:val="48"/>
          <w:shd w:val="clear" w:color="auto" w:fill="FFFFFF"/>
        </w:rPr>
        <w:t>Rückwärtsschauende Operatoren und kompositionelle Semantik</w:t>
      </w:r>
      <w:r w:rsidRPr="00C579B2">
        <w:rPr>
          <w:rFonts w:ascii="Times New Roman" w:hAnsi="Times New Roman"/>
          <w:b/>
          <w:i/>
          <w:sz w:val="48"/>
          <w:szCs w:val="48"/>
        </w:rPr>
        <w:t>“</w:t>
      </w:r>
    </w:p>
    <w:p w:rsidR="00D80219" w:rsidRPr="00C579B2" w:rsidRDefault="00D80219" w:rsidP="00746E37">
      <w:pPr>
        <w:jc w:val="center"/>
        <w:rPr>
          <w:rFonts w:ascii="Times New Roman" w:hAnsi="Times New Roman"/>
          <w:sz w:val="28"/>
          <w:szCs w:val="28"/>
        </w:rPr>
      </w:pPr>
    </w:p>
    <w:p w:rsidR="00746E37" w:rsidRPr="00C579B2" w:rsidRDefault="00746E37" w:rsidP="00746E37">
      <w:pPr>
        <w:jc w:val="center"/>
        <w:rPr>
          <w:rFonts w:ascii="Times New Roman" w:hAnsi="Times New Roman"/>
          <w:sz w:val="28"/>
          <w:szCs w:val="28"/>
        </w:rPr>
      </w:pPr>
    </w:p>
    <w:p w:rsidR="00746E37" w:rsidRPr="00746E37" w:rsidRDefault="00746E37" w:rsidP="00746E37">
      <w:pPr>
        <w:jc w:val="center"/>
        <w:rPr>
          <w:rFonts w:ascii="Times New Roman" w:hAnsi="Times New Roman"/>
          <w:b/>
          <w:sz w:val="32"/>
          <w:szCs w:val="32"/>
        </w:rPr>
      </w:pPr>
      <w:r w:rsidRPr="00746E37">
        <w:rPr>
          <w:rFonts w:ascii="Times New Roman" w:hAnsi="Times New Roman"/>
          <w:b/>
          <w:sz w:val="32"/>
          <w:szCs w:val="32"/>
        </w:rPr>
        <w:t>Die</w:t>
      </w:r>
      <w:r w:rsidRPr="00746E37">
        <w:rPr>
          <w:rFonts w:ascii="Times New Roman" w:hAnsi="Times New Roman"/>
          <w:b/>
          <w:sz w:val="36"/>
          <w:szCs w:val="36"/>
        </w:rPr>
        <w:t xml:space="preserve"> </w:t>
      </w:r>
      <w:r w:rsidRPr="00746E37">
        <w:rPr>
          <w:rFonts w:ascii="Times New Roman" w:hAnsi="Times New Roman"/>
          <w:b/>
          <w:sz w:val="32"/>
          <w:szCs w:val="32"/>
        </w:rPr>
        <w:t xml:space="preserve">Veranstaltung findet um </w:t>
      </w:r>
      <w:r w:rsidR="003C0BF0" w:rsidRPr="006A6342">
        <w:rPr>
          <w:rFonts w:ascii="Times New Roman" w:hAnsi="Times New Roman"/>
          <w:b/>
          <w:sz w:val="32"/>
          <w:szCs w:val="32"/>
          <w:u w:val="single"/>
        </w:rPr>
        <w:t>18</w:t>
      </w:r>
      <w:r w:rsidRPr="00F10B29">
        <w:rPr>
          <w:rFonts w:ascii="Times New Roman" w:hAnsi="Times New Roman"/>
          <w:b/>
          <w:sz w:val="32"/>
          <w:szCs w:val="32"/>
          <w:u w:val="single"/>
        </w:rPr>
        <w:t xml:space="preserve"> Uhr c.t.</w:t>
      </w:r>
      <w:r w:rsidRPr="00746E37">
        <w:rPr>
          <w:rFonts w:ascii="Times New Roman" w:hAnsi="Times New Roman"/>
          <w:b/>
          <w:sz w:val="32"/>
          <w:szCs w:val="32"/>
        </w:rPr>
        <w:t xml:space="preserve"> im Raum </w:t>
      </w:r>
      <w:r w:rsidR="006923BC">
        <w:rPr>
          <w:rFonts w:ascii="Times New Roman" w:hAnsi="Times New Roman"/>
          <w:b/>
          <w:sz w:val="32"/>
          <w:szCs w:val="32"/>
        </w:rPr>
        <w:t>PH 0.133</w:t>
      </w:r>
      <w:r w:rsidRPr="00746E37">
        <w:rPr>
          <w:rFonts w:ascii="Times New Roman" w:hAnsi="Times New Roman"/>
          <w:b/>
          <w:sz w:val="32"/>
          <w:szCs w:val="32"/>
        </w:rPr>
        <w:t xml:space="preserve"> statt.</w:t>
      </w:r>
    </w:p>
    <w:p w:rsidR="00D80219" w:rsidRPr="00746E37" w:rsidRDefault="00D80219" w:rsidP="00746E37">
      <w:pPr>
        <w:jc w:val="center"/>
        <w:rPr>
          <w:rFonts w:ascii="Times New Roman" w:hAnsi="Times New Roman"/>
          <w:sz w:val="32"/>
          <w:szCs w:val="32"/>
        </w:rPr>
      </w:pPr>
    </w:p>
    <w:p w:rsidR="003C0BF0" w:rsidRPr="00076A63" w:rsidRDefault="003C0BF0" w:rsidP="00746E37">
      <w:pPr>
        <w:jc w:val="center"/>
        <w:rPr>
          <w:rFonts w:ascii="Times New Roman" w:hAnsi="Times New Roman"/>
          <w:sz w:val="28"/>
          <w:szCs w:val="28"/>
        </w:rPr>
      </w:pPr>
    </w:p>
    <w:p w:rsidR="00746E37" w:rsidRPr="00746E37" w:rsidRDefault="00D80219" w:rsidP="00DF702E">
      <w:pPr>
        <w:jc w:val="center"/>
        <w:rPr>
          <w:rFonts w:ascii="Times New Roman" w:hAnsi="Times New Roman"/>
          <w:sz w:val="28"/>
          <w:szCs w:val="28"/>
        </w:rPr>
      </w:pPr>
      <w:r w:rsidRPr="00746E37">
        <w:rPr>
          <w:rFonts w:ascii="Times New Roman" w:hAnsi="Times New Roman"/>
          <w:sz w:val="28"/>
          <w:szCs w:val="28"/>
        </w:rPr>
        <w:t>Hierzu ergeht herzliche Einladung</w:t>
      </w:r>
      <w:r w:rsidR="00746E37" w:rsidRPr="00746E37">
        <w:rPr>
          <w:rFonts w:ascii="Times New Roman" w:hAnsi="Times New Roman"/>
          <w:sz w:val="28"/>
          <w:szCs w:val="28"/>
        </w:rPr>
        <w:t>.</w:t>
      </w:r>
    </w:p>
    <w:p w:rsidR="006F1567" w:rsidRDefault="006F1567" w:rsidP="00DF702E">
      <w:pPr>
        <w:jc w:val="center"/>
        <w:rPr>
          <w:rFonts w:ascii="Times New Roman" w:hAnsi="Times New Roman"/>
          <w:sz w:val="28"/>
          <w:szCs w:val="28"/>
        </w:rPr>
      </w:pPr>
    </w:p>
    <w:p w:rsidR="00DF702E" w:rsidRPr="00C579B2" w:rsidRDefault="00DF702E" w:rsidP="00DF702E">
      <w:pPr>
        <w:jc w:val="center"/>
        <w:rPr>
          <w:rFonts w:ascii="Times New Roman" w:hAnsi="Times New Roman"/>
          <w:szCs w:val="22"/>
        </w:rPr>
      </w:pPr>
      <w:r w:rsidRPr="00370457">
        <w:rPr>
          <w:rFonts w:ascii="Times New Roman" w:hAnsi="Times New Roman"/>
          <w:szCs w:val="22"/>
        </w:rPr>
        <w:t xml:space="preserve">Mario </w:t>
      </w:r>
      <w:proofErr w:type="spellStart"/>
      <w:r w:rsidRPr="00370457">
        <w:rPr>
          <w:rFonts w:ascii="Times New Roman" w:hAnsi="Times New Roman"/>
          <w:szCs w:val="22"/>
        </w:rPr>
        <w:t>Brandhorst</w:t>
      </w:r>
      <w:proofErr w:type="spellEnd"/>
      <w:r w:rsidRPr="00370457">
        <w:rPr>
          <w:rFonts w:ascii="Times New Roman" w:hAnsi="Times New Roman"/>
          <w:szCs w:val="22"/>
        </w:rPr>
        <w:t xml:space="preserve">, </w:t>
      </w:r>
      <w:r w:rsidR="00F50F35">
        <w:rPr>
          <w:rFonts w:ascii="Times New Roman" w:hAnsi="Times New Roman"/>
          <w:szCs w:val="22"/>
        </w:rPr>
        <w:t xml:space="preserve">Andreas Brandt, </w:t>
      </w:r>
      <w:r w:rsidRPr="00370457">
        <w:rPr>
          <w:rFonts w:ascii="Times New Roman" w:hAnsi="Times New Roman"/>
          <w:szCs w:val="22"/>
        </w:rPr>
        <w:t xml:space="preserve">Bruno Haas, </w:t>
      </w:r>
      <w:proofErr w:type="spellStart"/>
      <w:r w:rsidR="003C1FE1" w:rsidRPr="00370457">
        <w:rPr>
          <w:rFonts w:ascii="Times New Roman" w:hAnsi="Times New Roman"/>
          <w:szCs w:val="22"/>
        </w:rPr>
        <w:t>Kerrin</w:t>
      </w:r>
      <w:proofErr w:type="spellEnd"/>
      <w:r w:rsidR="003C1FE1" w:rsidRPr="00370457">
        <w:rPr>
          <w:rFonts w:ascii="Times New Roman" w:hAnsi="Times New Roman"/>
          <w:szCs w:val="22"/>
        </w:rPr>
        <w:t xml:space="preserve"> Jacobs,</w:t>
      </w:r>
      <w:r w:rsidR="003C1FE1">
        <w:rPr>
          <w:rFonts w:ascii="Times New Roman" w:hAnsi="Times New Roman"/>
          <w:szCs w:val="22"/>
        </w:rPr>
        <w:t xml:space="preserve"> Matthias Katzer, </w:t>
      </w:r>
      <w:r w:rsidR="00370457">
        <w:rPr>
          <w:rFonts w:ascii="Times New Roman" w:hAnsi="Times New Roman"/>
          <w:szCs w:val="22"/>
        </w:rPr>
        <w:t>Stefan Klingner</w:t>
      </w:r>
      <w:r w:rsidRPr="00370457">
        <w:rPr>
          <w:rFonts w:ascii="Times New Roman" w:hAnsi="Times New Roman"/>
          <w:szCs w:val="22"/>
        </w:rPr>
        <w:t xml:space="preserve">, </w:t>
      </w:r>
      <w:r w:rsidR="00F50F35">
        <w:rPr>
          <w:rFonts w:ascii="Times New Roman" w:hAnsi="Times New Roman"/>
          <w:szCs w:val="22"/>
        </w:rPr>
        <w:br/>
        <w:t xml:space="preserve">Jan </w:t>
      </w:r>
      <w:proofErr w:type="spellStart"/>
      <w:r w:rsidR="00F50F35">
        <w:rPr>
          <w:rFonts w:ascii="Times New Roman" w:hAnsi="Times New Roman"/>
          <w:szCs w:val="22"/>
        </w:rPr>
        <w:t>Köpping</w:t>
      </w:r>
      <w:proofErr w:type="spellEnd"/>
      <w:r w:rsidR="00F50F35">
        <w:rPr>
          <w:rFonts w:ascii="Times New Roman" w:hAnsi="Times New Roman"/>
          <w:szCs w:val="22"/>
        </w:rPr>
        <w:t xml:space="preserve">, </w:t>
      </w:r>
      <w:r w:rsidR="003C1FE1">
        <w:rPr>
          <w:rFonts w:ascii="Times New Roman" w:hAnsi="Times New Roman"/>
          <w:szCs w:val="22"/>
        </w:rPr>
        <w:t xml:space="preserve">Katharina Naumann, </w:t>
      </w:r>
      <w:r w:rsidR="00C579B2" w:rsidRPr="00C579B2">
        <w:rPr>
          <w:rFonts w:ascii="Times New Roman" w:hAnsi="Times New Roman"/>
          <w:szCs w:val="22"/>
        </w:rPr>
        <w:t xml:space="preserve">Jörg Schroth, </w:t>
      </w:r>
      <w:r w:rsidR="003C0BF0" w:rsidRPr="00C579B2">
        <w:rPr>
          <w:rFonts w:ascii="Times New Roman" w:hAnsi="Times New Roman"/>
          <w:szCs w:val="22"/>
        </w:rPr>
        <w:t>Julian Small</w:t>
      </w:r>
      <w:r w:rsidR="00C579B2" w:rsidRPr="00C579B2">
        <w:rPr>
          <w:rFonts w:ascii="Times New Roman" w:hAnsi="Times New Roman"/>
          <w:szCs w:val="22"/>
        </w:rPr>
        <w:t>,</w:t>
      </w:r>
      <w:r w:rsidR="003C0BF0" w:rsidRPr="00C579B2">
        <w:rPr>
          <w:rFonts w:ascii="Times New Roman" w:hAnsi="Times New Roman"/>
          <w:szCs w:val="22"/>
        </w:rPr>
        <w:t xml:space="preserve"> </w:t>
      </w:r>
      <w:r w:rsidRPr="00C579B2">
        <w:rPr>
          <w:rFonts w:ascii="Times New Roman" w:hAnsi="Times New Roman"/>
          <w:szCs w:val="22"/>
        </w:rPr>
        <w:t>Stephanie Weber-Schroth</w:t>
      </w:r>
    </w:p>
    <w:p w:rsidR="00D80219" w:rsidRPr="00C579B2" w:rsidRDefault="00D80219" w:rsidP="00DF702E">
      <w:pPr>
        <w:jc w:val="center"/>
        <w:rPr>
          <w:rFonts w:ascii="Times New Roman" w:hAnsi="Times New Roman"/>
          <w:sz w:val="22"/>
          <w:szCs w:val="22"/>
        </w:rPr>
      </w:pPr>
    </w:p>
    <w:p w:rsidR="00370457" w:rsidRDefault="00F50F35" w:rsidP="00DF70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Abstract</w:t>
      </w:r>
    </w:p>
    <w:p w:rsidR="00F50F35" w:rsidRPr="00F50F35" w:rsidRDefault="00F50F35" w:rsidP="00F50F35">
      <w:pPr>
        <w:pStyle w:val="StandardWeb"/>
        <w:rPr>
          <w:sz w:val="20"/>
          <w:szCs w:val="20"/>
        </w:rPr>
      </w:pPr>
      <w:r w:rsidRPr="00F50F35">
        <w:rPr>
          <w:color w:val="000000"/>
          <w:sz w:val="20"/>
          <w:szCs w:val="20"/>
        </w:rPr>
        <w:t xml:space="preserve">Sogenannte </w:t>
      </w:r>
      <w:r w:rsidRPr="00F50F35">
        <w:rPr>
          <w:i/>
          <w:iCs/>
          <w:color w:val="000000"/>
          <w:sz w:val="20"/>
          <w:szCs w:val="20"/>
        </w:rPr>
        <w:t>rückwärtsschauende</w:t>
      </w:r>
      <w:r w:rsidRPr="00F50F35">
        <w:rPr>
          <w:color w:val="000000"/>
          <w:sz w:val="20"/>
          <w:szCs w:val="20"/>
        </w:rPr>
        <w:t xml:space="preserve"> Operatoren (Saarinen, 1979) spielen eine gewichtige Rolle für die Frage, ob die Semantik natürlicher Sprachen in einer formalen Sprache mit expliziten Variablen für Zeiten und Welten zusammen mit entsprechenden </w:t>
      </w:r>
      <w:proofErr w:type="spellStart"/>
      <w:r w:rsidRPr="00F50F35">
        <w:rPr>
          <w:color w:val="000000"/>
          <w:sz w:val="20"/>
          <w:szCs w:val="20"/>
        </w:rPr>
        <w:t>Quantoren</w:t>
      </w:r>
      <w:proofErr w:type="spellEnd"/>
      <w:r w:rsidRPr="00F50F35">
        <w:rPr>
          <w:color w:val="000000"/>
          <w:sz w:val="20"/>
          <w:szCs w:val="20"/>
        </w:rPr>
        <w:t xml:space="preserve"> formuliert werden muss, oder die Ausdruckskraft von Sprachen mit impliziten Parametern und entsprechenden temporalen und modalen Operatoren ausreicht. Rückwärtsschauende Operatoren scheinen den letzteren, impliziten Ansätzen zur nötigen Ausdrucksstärke zu verhelfen (</w:t>
      </w:r>
      <w:proofErr w:type="spellStart"/>
      <w:r w:rsidRPr="00F50F35">
        <w:rPr>
          <w:color w:val="000000"/>
          <w:sz w:val="20"/>
          <w:szCs w:val="20"/>
        </w:rPr>
        <w:t>Cresswell</w:t>
      </w:r>
      <w:proofErr w:type="spellEnd"/>
      <w:r w:rsidRPr="00F50F35">
        <w:rPr>
          <w:color w:val="000000"/>
          <w:sz w:val="20"/>
          <w:szCs w:val="20"/>
        </w:rPr>
        <w:t>, 1990), obwohl, wie ein neueres Resultat (</w:t>
      </w:r>
      <w:proofErr w:type="spellStart"/>
      <w:r w:rsidRPr="00F50F35">
        <w:rPr>
          <w:color w:val="000000"/>
          <w:sz w:val="20"/>
          <w:szCs w:val="20"/>
        </w:rPr>
        <w:t>Yanovich</w:t>
      </w:r>
      <w:proofErr w:type="spellEnd"/>
      <w:r w:rsidRPr="00F50F35">
        <w:rPr>
          <w:color w:val="000000"/>
          <w:sz w:val="20"/>
          <w:szCs w:val="20"/>
        </w:rPr>
        <w:t xml:space="preserve">, 2015) zeigt, diese nicht notwendigerweise an die Stärke der expliziten Systeme heranreicht. </w:t>
      </w:r>
    </w:p>
    <w:p w:rsidR="00F50F35" w:rsidRPr="00DF66EE" w:rsidRDefault="00F50F35" w:rsidP="00DF66EE">
      <w:pPr>
        <w:pStyle w:val="StandardWeb"/>
        <w:rPr>
          <w:sz w:val="20"/>
          <w:szCs w:val="20"/>
        </w:rPr>
      </w:pPr>
      <w:r w:rsidRPr="00F50F35">
        <w:rPr>
          <w:color w:val="000000"/>
          <w:sz w:val="20"/>
          <w:szCs w:val="20"/>
        </w:rPr>
        <w:t xml:space="preserve">Aus der Perspektive der kompositionellen Semantik sind diese Resultate jedoch nur bedingt aussagekräftig, und das aus zweierlei, miteinander zusammenhängenden Gründen. Zum Einen deshalb, weil die formalen Sprachen zur Darstellung der </w:t>
      </w:r>
      <w:r w:rsidRPr="00F50F35">
        <w:rPr>
          <w:i/>
          <w:iCs/>
          <w:color w:val="000000"/>
          <w:sz w:val="20"/>
          <w:szCs w:val="20"/>
        </w:rPr>
        <w:t>Komposition</w:t>
      </w:r>
      <w:r w:rsidRPr="00F50F35">
        <w:rPr>
          <w:color w:val="000000"/>
          <w:sz w:val="20"/>
          <w:szCs w:val="20"/>
        </w:rPr>
        <w:t xml:space="preserve"> geeignet sein müssen, was die Verwendung von </w:t>
      </w:r>
      <w:r w:rsidRPr="00F50F35">
        <w:rPr>
          <w:i/>
          <w:iCs/>
          <w:color w:val="000000"/>
          <w:sz w:val="20"/>
          <w:szCs w:val="20"/>
        </w:rPr>
        <w:t>höherstufigen</w:t>
      </w:r>
      <w:r w:rsidRPr="00F50F35">
        <w:rPr>
          <w:color w:val="000000"/>
          <w:sz w:val="20"/>
          <w:szCs w:val="20"/>
        </w:rPr>
        <w:t xml:space="preserve"> Sprachen nötig macht, während die üblichen Betrachtungen zur Ausdrucksstärke sich auf </w:t>
      </w:r>
      <w:r w:rsidRPr="00F50F35">
        <w:rPr>
          <w:i/>
          <w:iCs/>
          <w:color w:val="000000"/>
          <w:sz w:val="20"/>
          <w:szCs w:val="20"/>
        </w:rPr>
        <w:t>erststufige</w:t>
      </w:r>
      <w:r w:rsidRPr="00F50F35">
        <w:rPr>
          <w:color w:val="000000"/>
          <w:sz w:val="20"/>
          <w:szCs w:val="20"/>
        </w:rPr>
        <w:t xml:space="preserve"> Sprachen konzentrieren. Zum Anderen – damit jedoch einhergehend – konzentrieren sich die genannten Beweise auf die Satzebene, d.h. sie stellen die Frage, ob die </w:t>
      </w:r>
      <w:r w:rsidRPr="00F50F35">
        <w:rPr>
          <w:i/>
          <w:iCs/>
          <w:color w:val="000000"/>
          <w:sz w:val="20"/>
          <w:szCs w:val="20"/>
        </w:rPr>
        <w:t>Wahrheitsbedingungen</w:t>
      </w:r>
      <w:r w:rsidRPr="00F50F35">
        <w:rPr>
          <w:color w:val="000000"/>
          <w:sz w:val="20"/>
          <w:szCs w:val="20"/>
        </w:rPr>
        <w:t xml:space="preserve"> natürlicher Beispiel</w:t>
      </w:r>
      <w:r w:rsidRPr="00F50F35">
        <w:rPr>
          <w:i/>
          <w:iCs/>
          <w:color w:val="000000"/>
          <w:sz w:val="20"/>
          <w:szCs w:val="20"/>
        </w:rPr>
        <w:t>sätze</w:t>
      </w:r>
      <w:r w:rsidRPr="00F50F35">
        <w:rPr>
          <w:color w:val="000000"/>
          <w:sz w:val="20"/>
          <w:szCs w:val="20"/>
        </w:rPr>
        <w:t xml:space="preserve"> in der betrachteten Sprachen ausdrückbar sind, während </w:t>
      </w:r>
      <w:r w:rsidRPr="00F50F35">
        <w:rPr>
          <w:i/>
          <w:iCs/>
          <w:color w:val="000000"/>
          <w:sz w:val="20"/>
          <w:szCs w:val="20"/>
        </w:rPr>
        <w:t>kompositionelle</w:t>
      </w:r>
      <w:r w:rsidRPr="00F50F35">
        <w:rPr>
          <w:color w:val="000000"/>
          <w:sz w:val="20"/>
          <w:szCs w:val="20"/>
        </w:rPr>
        <w:t xml:space="preserve"> Systeme notwendigerweise an allen möglichen Denotaten </w:t>
      </w:r>
      <w:proofErr w:type="spellStart"/>
      <w:r w:rsidRPr="00F50F35">
        <w:rPr>
          <w:color w:val="000000"/>
          <w:sz w:val="20"/>
          <w:szCs w:val="20"/>
        </w:rPr>
        <w:t>subsententialer</w:t>
      </w:r>
      <w:proofErr w:type="spellEnd"/>
      <w:r w:rsidRPr="00F50F35">
        <w:rPr>
          <w:color w:val="000000"/>
          <w:sz w:val="20"/>
          <w:szCs w:val="20"/>
        </w:rPr>
        <w:t xml:space="preserve"> Ausdrücke interessiert sind, somit die Ausdrückbarkeit der rückwärtsschauenden Operatoren selbst im Auge haben müssen. Wie in diesem Vortrag gezeigt wird, erlaubt es eine höherstufige Sprache wie die klassische </w:t>
      </w:r>
      <w:proofErr w:type="spellStart"/>
      <w:r w:rsidRPr="00F50F35">
        <w:rPr>
          <w:i/>
          <w:iCs/>
          <w:color w:val="000000"/>
          <w:sz w:val="20"/>
          <w:szCs w:val="20"/>
        </w:rPr>
        <w:t>Intensionalen</w:t>
      </w:r>
      <w:proofErr w:type="spellEnd"/>
      <w:r w:rsidRPr="00F50F35">
        <w:rPr>
          <w:i/>
          <w:iCs/>
          <w:color w:val="000000"/>
          <w:sz w:val="20"/>
          <w:szCs w:val="20"/>
        </w:rPr>
        <w:t xml:space="preserve"> Logik</w:t>
      </w:r>
      <w:r w:rsidRPr="00F50F35">
        <w:rPr>
          <w:color w:val="000000"/>
          <w:sz w:val="20"/>
          <w:szCs w:val="20"/>
        </w:rPr>
        <w:t xml:space="preserve"> (Montague, 1973) </w:t>
      </w:r>
      <w:r w:rsidRPr="00F50F35">
        <w:rPr>
          <w:i/>
          <w:iCs/>
          <w:color w:val="000000"/>
          <w:sz w:val="20"/>
          <w:szCs w:val="20"/>
        </w:rPr>
        <w:t>qua</w:t>
      </w:r>
      <w:r w:rsidRPr="00F50F35">
        <w:rPr>
          <w:color w:val="000000"/>
          <w:sz w:val="20"/>
          <w:szCs w:val="20"/>
        </w:rPr>
        <w:t xml:space="preserve"> </w:t>
      </w:r>
      <w:proofErr w:type="spellStart"/>
      <w:r w:rsidRPr="00F50F35">
        <w:rPr>
          <w:color w:val="000000"/>
          <w:sz w:val="20"/>
          <w:szCs w:val="20"/>
        </w:rPr>
        <w:t>Höherstufigkeit</w:t>
      </w:r>
      <w:proofErr w:type="spellEnd"/>
      <w:r w:rsidRPr="00F50F35">
        <w:rPr>
          <w:color w:val="000000"/>
          <w:sz w:val="20"/>
          <w:szCs w:val="20"/>
        </w:rPr>
        <w:t xml:space="preserve">, den Beitrag der rückwärtsschauenden Operatoren auf der Satzebene zu simulieren, ohne sie jedoch </w:t>
      </w:r>
      <w:r w:rsidRPr="00F50F35">
        <w:rPr>
          <w:i/>
          <w:iCs/>
          <w:color w:val="000000"/>
          <w:sz w:val="20"/>
          <w:szCs w:val="20"/>
        </w:rPr>
        <w:t>definieren</w:t>
      </w:r>
      <w:r w:rsidRPr="00F50F35">
        <w:rPr>
          <w:color w:val="000000"/>
          <w:sz w:val="20"/>
          <w:szCs w:val="20"/>
        </w:rPr>
        <w:t xml:space="preserve"> zu können.</w:t>
      </w:r>
      <w:bookmarkStart w:id="0" w:name="_GoBack"/>
      <w:bookmarkEnd w:id="0"/>
    </w:p>
    <w:sectPr w:rsidR="00F50F35" w:rsidRPr="00DF66EE" w:rsidSect="00153D41">
      <w:pgSz w:w="11907" w:h="16840"/>
      <w:pgMar w:top="907" w:right="851" w:bottom="1021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1B"/>
    <w:rsid w:val="00076A63"/>
    <w:rsid w:val="000857DD"/>
    <w:rsid w:val="00145AD9"/>
    <w:rsid w:val="00153D41"/>
    <w:rsid w:val="001A04C0"/>
    <w:rsid w:val="001B6134"/>
    <w:rsid w:val="001D3001"/>
    <w:rsid w:val="002612AB"/>
    <w:rsid w:val="002E7B3E"/>
    <w:rsid w:val="002F09A2"/>
    <w:rsid w:val="00335198"/>
    <w:rsid w:val="00342289"/>
    <w:rsid w:val="003516B7"/>
    <w:rsid w:val="00364524"/>
    <w:rsid w:val="00370457"/>
    <w:rsid w:val="003C0BF0"/>
    <w:rsid w:val="003C1FE1"/>
    <w:rsid w:val="003C591E"/>
    <w:rsid w:val="003F21FB"/>
    <w:rsid w:val="00482A8C"/>
    <w:rsid w:val="004A3FB9"/>
    <w:rsid w:val="004B5C6C"/>
    <w:rsid w:val="004B7769"/>
    <w:rsid w:val="00512A25"/>
    <w:rsid w:val="005518E8"/>
    <w:rsid w:val="005D47A1"/>
    <w:rsid w:val="005E61DE"/>
    <w:rsid w:val="005E774D"/>
    <w:rsid w:val="006449E6"/>
    <w:rsid w:val="0065518B"/>
    <w:rsid w:val="006923BC"/>
    <w:rsid w:val="0069499B"/>
    <w:rsid w:val="006A36C4"/>
    <w:rsid w:val="006A6342"/>
    <w:rsid w:val="006F1567"/>
    <w:rsid w:val="00746E37"/>
    <w:rsid w:val="0083281B"/>
    <w:rsid w:val="00974E60"/>
    <w:rsid w:val="00997F39"/>
    <w:rsid w:val="009E0D3A"/>
    <w:rsid w:val="00A24040"/>
    <w:rsid w:val="00A446D1"/>
    <w:rsid w:val="00A86093"/>
    <w:rsid w:val="00AE2AF0"/>
    <w:rsid w:val="00B54BFE"/>
    <w:rsid w:val="00BA40DA"/>
    <w:rsid w:val="00C4382B"/>
    <w:rsid w:val="00C579B2"/>
    <w:rsid w:val="00C64E36"/>
    <w:rsid w:val="00CF62D3"/>
    <w:rsid w:val="00D00285"/>
    <w:rsid w:val="00D80219"/>
    <w:rsid w:val="00D86160"/>
    <w:rsid w:val="00DA5DD1"/>
    <w:rsid w:val="00DC2C5B"/>
    <w:rsid w:val="00DC392F"/>
    <w:rsid w:val="00DD7939"/>
    <w:rsid w:val="00DF66EE"/>
    <w:rsid w:val="00DF702E"/>
    <w:rsid w:val="00E743FD"/>
    <w:rsid w:val="00E74706"/>
    <w:rsid w:val="00EE1C2E"/>
    <w:rsid w:val="00F01760"/>
    <w:rsid w:val="00F10B29"/>
    <w:rsid w:val="00F50F35"/>
    <w:rsid w:val="00FA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5CC20AF-857B-41DC-9F3B-597734AC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3D41"/>
    <w:rPr>
      <w:rFonts w:ascii="Courier" w:hAnsi="Couri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A40DA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3704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70457"/>
    <w:rPr>
      <w:rFonts w:ascii="Consolas" w:eastAsiaTheme="minorHAnsi" w:hAnsi="Consolas" w:cstheme="minorBidi"/>
      <w:sz w:val="21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F50F35"/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aushang brandom</vt:lpstr>
    </vt:vector>
  </TitlesOfParts>
  <Company>Philosophisches Seminar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aushang brandom</dc:title>
  <dc:creator>Sekretariat</dc:creator>
  <cp:lastModifiedBy>Holler, Gisela</cp:lastModifiedBy>
  <cp:revision>4</cp:revision>
  <cp:lastPrinted>2018-06-27T08:46:00Z</cp:lastPrinted>
  <dcterms:created xsi:type="dcterms:W3CDTF">2018-11-05T09:38:00Z</dcterms:created>
  <dcterms:modified xsi:type="dcterms:W3CDTF">2018-11-07T07:52:00Z</dcterms:modified>
</cp:coreProperties>
</file>