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1CEEACB8" w:rsidR="0042385F" w:rsidRDefault="00E76779" w:rsidP="004B0D19">
      <w:pPr>
        <w:pStyle w:val="berschrift1"/>
      </w:pPr>
      <w:r>
        <w:t>Grenzen endlicher Automaten</w:t>
      </w:r>
    </w:p>
    <w:p w14:paraId="798B6196" w14:textId="30FA4D0F" w:rsidR="003056EA" w:rsidRDefault="003056EA" w:rsidP="00F551E8">
      <w:r>
        <w:t xml:space="preserve">Formale Sprachen begegnen uns </w:t>
      </w:r>
      <w:r w:rsidR="00423B0F">
        <w:t>ständig</w:t>
      </w:r>
      <w:r>
        <w:t xml:space="preserve"> im Alltag</w:t>
      </w:r>
      <w:r w:rsidR="00423B0F">
        <w:t>, ohne dass wir sie bewusst wahrnehmen</w:t>
      </w:r>
      <w:r>
        <w:t xml:space="preserve">. </w:t>
      </w:r>
      <w:r w:rsidR="005524C1">
        <w:t xml:space="preserve">So können häufig insbesondere bei der Kommunikation „Mensch-Maschine“ </w:t>
      </w:r>
      <w:r>
        <w:t>nur zu</w:t>
      </w:r>
      <w:r w:rsidR="007D4B8E">
        <w:t xml:space="preserve"> einer bestimmten</w:t>
      </w:r>
      <w:r>
        <w:t xml:space="preserve"> Sprache gehörende „erlaubte“ Ausdrücke in ein Formular eingegeben </w:t>
      </w:r>
      <w:r w:rsidR="00C66590">
        <w:t xml:space="preserve">oder verwendet </w:t>
      </w:r>
      <w:r>
        <w:t>werden</w:t>
      </w:r>
      <w:r w:rsidR="007A567C">
        <w:t>:</w:t>
      </w:r>
      <w:r>
        <w:t xml:space="preserve"> Beispiele sind syntaktisch korrekte Geburtsdaten, syntaktisch plausible Email-Adressen oder </w:t>
      </w:r>
      <w:r w:rsidR="005524C1">
        <w:t>aber auch Taschenrechnereingaben, die auf eine fest vorgegebene Art zu erfolgen haben</w:t>
      </w:r>
      <w:r>
        <w:t xml:space="preserve">. </w:t>
      </w:r>
    </w:p>
    <w:p w14:paraId="206E3B9E" w14:textId="58497F9E" w:rsidR="00CD4694" w:rsidRDefault="003056EA" w:rsidP="00F551E8">
      <w:r>
        <w:t xml:space="preserve">Wir haben bisher </w:t>
      </w:r>
      <w:r w:rsidR="00D343BB">
        <w:t xml:space="preserve">deterministische </w:t>
      </w:r>
      <w:r>
        <w:t xml:space="preserve">endlichen Automaten </w:t>
      </w:r>
      <w:r w:rsidR="00D343BB">
        <w:t xml:space="preserve">(DEA) </w:t>
      </w:r>
      <w:r>
        <w:t xml:space="preserve">zum Erkennen </w:t>
      </w:r>
      <w:r w:rsidR="006463F8" w:rsidRPr="006463F8">
        <w:rPr>
          <w:i/>
          <w:iCs/>
        </w:rPr>
        <w:t>bestimmter</w:t>
      </w:r>
      <w:r w:rsidR="006463F8">
        <w:t xml:space="preserve"> formaler </w:t>
      </w:r>
      <w:r>
        <w:t xml:space="preserve">Sprachen </w:t>
      </w:r>
      <w:r w:rsidR="006463F8">
        <w:t>genutzt</w:t>
      </w:r>
      <w:r w:rsidR="007A5481">
        <w:t>, den sogenannten regulären Sprachen</w:t>
      </w:r>
      <w:r>
        <w:t>.</w:t>
      </w:r>
      <w:r w:rsidR="006463F8">
        <w:t xml:space="preserve"> </w:t>
      </w:r>
      <w:r w:rsidR="005524C1">
        <w:t>Jedoch ist nicht jede formale Sprache eine reguläre Sprache – bereits f</w:t>
      </w:r>
      <w:r>
        <w:t>ür</w:t>
      </w:r>
      <w:r w:rsidR="005524C1">
        <w:t xml:space="preserve"> eines der drei</w:t>
      </w:r>
      <w:r>
        <w:t xml:space="preserve"> </w:t>
      </w:r>
      <w:r w:rsidR="005524C1">
        <w:t xml:space="preserve">anfangs </w:t>
      </w:r>
      <w:r>
        <w:t>erwähnten Beispiele reich</w:t>
      </w:r>
      <w:r w:rsidR="00CD4694">
        <w:t>t</w:t>
      </w:r>
      <w:r>
        <w:t xml:space="preserve"> die</w:t>
      </w:r>
      <w:r w:rsidR="005524C1">
        <w:t xml:space="preserve">se Sprachdefinition nicht mehr aus. </w:t>
      </w:r>
    </w:p>
    <w:p w14:paraId="37AB38AF" w14:textId="663F57A0" w:rsidR="009879A6" w:rsidRDefault="005524C1" w:rsidP="00F551E8">
      <w:r>
        <w:t>I</w:t>
      </w:r>
      <w:r w:rsidR="00C66590">
        <w:t>m Folgenden wollen wir die Grenzen endlicher Automaten</w:t>
      </w:r>
      <w:r>
        <w:t xml:space="preserve"> </w:t>
      </w:r>
      <w:r w:rsidR="009879A6">
        <w:t xml:space="preserve">zur Beschreibung formaler Sprachen </w:t>
      </w:r>
      <w:r>
        <w:t>genauer</w:t>
      </w:r>
      <w:r w:rsidR="00C66590">
        <w:t xml:space="preserve"> erkunden.</w:t>
      </w:r>
    </w:p>
    <w:p w14:paraId="533165D4" w14:textId="2F6BF297" w:rsidR="00C66590" w:rsidRDefault="00C66590" w:rsidP="00F204A3">
      <w:pPr>
        <w:pStyle w:val="berschrift2"/>
      </w:pPr>
      <w:r>
        <w:t>Beispiel: Zitate</w:t>
      </w:r>
    </w:p>
    <w:p w14:paraId="06389840" w14:textId="792BC620" w:rsidR="00F72078" w:rsidRDefault="00C66590" w:rsidP="00F551E8">
      <w:r>
        <w:t>In der deutschen Sprache wird eine direkte Rede oder ein Zitat jeweils von öffnenden und schließende</w:t>
      </w:r>
      <w:r w:rsidR="008E40B4">
        <w:t>n</w:t>
      </w:r>
      <w:r>
        <w:t xml:space="preserve"> Anführungszeichen umschlossen: „Dies ist ein Beispiel“. Fehlt das öffnende oder schließende Anführungszeichen, </w:t>
      </w:r>
      <w:r w:rsidR="008E40B4">
        <w:t xml:space="preserve">so </w:t>
      </w:r>
      <w:r>
        <w:t>ist der Anfang oder das Ende einer direkten Rede oder eines Zitats schwer erfassbar und ein Satz syntaktisch falsch: „Beispiel</w:t>
      </w:r>
    </w:p>
    <w:p w14:paraId="760B88F7" w14:textId="77777777" w:rsidR="00AF37EC" w:rsidRDefault="00F72078" w:rsidP="00F551E8">
      <w:r w:rsidRPr="00F2230F">
        <w:rPr>
          <w:rStyle w:val="berschrift5Zchn"/>
        </w:rPr>
        <w:t>Aufgabe</w:t>
      </w:r>
      <w:r w:rsidR="00AF37EC">
        <w:rPr>
          <w:rStyle w:val="berschrift5Zchn"/>
        </w:rPr>
        <w:t>n</w:t>
      </w:r>
      <w:r w:rsidRPr="00F2230F">
        <w:rPr>
          <w:rStyle w:val="berschrift5Zchn"/>
        </w:rPr>
        <w:t>:</w:t>
      </w:r>
      <w:r>
        <w:t xml:space="preserve"> </w:t>
      </w:r>
    </w:p>
    <w:p w14:paraId="5218FFEF" w14:textId="2648A9E2" w:rsidR="00F72078" w:rsidRDefault="00F72078" w:rsidP="00AF37EC">
      <w:pPr>
        <w:pStyle w:val="Listenabsatz"/>
        <w:numPr>
          <w:ilvl w:val="0"/>
          <w:numId w:val="31"/>
        </w:numPr>
      </w:pPr>
      <w:bookmarkStart w:id="0" w:name="_Ref43789558"/>
      <w:r>
        <w:t>Entwickeln Sie einen deterministischen endlichen Automaten</w:t>
      </w:r>
      <w:r w:rsidR="00D343BB">
        <w:t xml:space="preserve"> (DEA)</w:t>
      </w:r>
      <w:r>
        <w:t>, der</w:t>
      </w:r>
      <w:r w:rsidR="007A5481">
        <w:t xml:space="preserve"> solche</w:t>
      </w:r>
      <w:r>
        <w:t xml:space="preserve"> „einfache</w:t>
      </w:r>
      <w:r w:rsidR="007A5481">
        <w:t>n</w:t>
      </w:r>
      <w:r>
        <w:t xml:space="preserve">“ Zitate akzeptiert. Als Eingabealphabet können Sie die Terminalsymbole </w:t>
      </w:r>
      <w:r w:rsidRPr="005162F0">
        <w:rPr>
          <w:rFonts w:ascii="Courier New" w:hAnsi="Courier New" w:cs="Courier New"/>
        </w:rPr>
        <w:t>{z, „, “}</w:t>
      </w:r>
      <w:r>
        <w:t xml:space="preserve"> verwenden, wobei z für ein Zeichen steht, welches kein Anführungszeichen ist.</w:t>
      </w:r>
      <w:bookmarkEnd w:id="0"/>
    </w:p>
    <w:p w14:paraId="33950C32" w14:textId="12250799" w:rsidR="00AF37EC" w:rsidRDefault="00AF37EC" w:rsidP="00AF37EC">
      <w:pPr>
        <w:pStyle w:val="Listenabsatz"/>
        <w:numPr>
          <w:ilvl w:val="0"/>
          <w:numId w:val="31"/>
        </w:numPr>
      </w:pPr>
      <w:r>
        <w:t xml:space="preserve">Überprüfen Sie jeweils mithilfe der Angabe einer Zustandsübergangsfolge, ob die Eingabefolgen </w:t>
      </w:r>
      <w:r w:rsidRPr="00AF37EC">
        <w:rPr>
          <w:rFonts w:ascii="Courier New" w:hAnsi="Courier New" w:cs="Courier New"/>
        </w:rPr>
        <w:t>„Beispiel</w:t>
      </w:r>
      <w:r>
        <w:t xml:space="preserve"> und </w:t>
      </w:r>
      <w:r w:rsidRPr="00AF37EC">
        <w:rPr>
          <w:rFonts w:ascii="Courier New" w:hAnsi="Courier New" w:cs="Courier New"/>
        </w:rPr>
        <w:t>Dies ist ein „Beispiel“</w:t>
      </w:r>
      <w:r>
        <w:t xml:space="preserve"> von Ihrem </w:t>
      </w:r>
      <w:r w:rsidR="00D343BB">
        <w:t>DEA</w:t>
      </w:r>
      <w:r>
        <w:t xml:space="preserve"> akzeptiert werden.</w:t>
      </w:r>
    </w:p>
    <w:p w14:paraId="62C4B799" w14:textId="4CA9FAEC" w:rsidR="00F2230F" w:rsidRDefault="00AF37EC" w:rsidP="007A5481">
      <w:pPr>
        <w:pStyle w:val="Listenabsatz"/>
        <w:numPr>
          <w:ilvl w:val="0"/>
          <w:numId w:val="31"/>
        </w:numPr>
      </w:pPr>
      <w:bookmarkStart w:id="1" w:name="_Ref43789570"/>
      <w:r>
        <w:t xml:space="preserve">Untersuchen Sie, welche Änderungen an Ihrem DEA nötig sind, damit dieser auch Zitate in Zitaten akzeptiert. Ein Beispiel für ein solches Zitat in einem Zitat ist: </w:t>
      </w:r>
      <w:r w:rsidRPr="00AF37EC">
        <w:rPr>
          <w:rFonts w:ascii="Courier New" w:hAnsi="Courier New" w:cs="Courier New"/>
        </w:rPr>
        <w:t>„Dies ist kein „einfaches“ Zitat“</w:t>
      </w:r>
      <w:r>
        <w:t>.</w:t>
      </w:r>
      <w:bookmarkEnd w:id="1"/>
    </w:p>
    <w:p w14:paraId="0E33C6D5" w14:textId="4DA57FE4" w:rsidR="00327917" w:rsidRDefault="00327917" w:rsidP="00E25B5E">
      <w:pPr>
        <w:pStyle w:val="berschrift4"/>
      </w:pPr>
      <w:r>
        <w:lastRenderedPageBreak/>
        <w:t>Zitat</w:t>
      </w:r>
      <w:r w:rsidR="00BB4020">
        <w:t xml:space="preserve"> in einem Zitat in einem Zitat</w:t>
      </w:r>
    </w:p>
    <w:p w14:paraId="405F878D" w14:textId="021D5921" w:rsidR="0096763D" w:rsidRPr="0096763D" w:rsidRDefault="002D6229" w:rsidP="0096763D">
      <w:r>
        <w:rPr>
          <w:noProof/>
        </w:rPr>
        <mc:AlternateContent>
          <mc:Choice Requires="wps">
            <w:drawing>
              <wp:anchor distT="0" distB="0" distL="114300" distR="114300" simplePos="0" relativeHeight="251660288" behindDoc="0" locked="0" layoutInCell="1" allowOverlap="1" wp14:anchorId="30370048" wp14:editId="7DAD2D88">
                <wp:simplePos x="0" y="0"/>
                <wp:positionH relativeFrom="column">
                  <wp:posOffset>-363220</wp:posOffset>
                </wp:positionH>
                <wp:positionV relativeFrom="paragraph">
                  <wp:posOffset>2881630</wp:posOffset>
                </wp:positionV>
                <wp:extent cx="692594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6925945" cy="635"/>
                        </a:xfrm>
                        <a:prstGeom prst="rect">
                          <a:avLst/>
                        </a:prstGeom>
                        <a:solidFill>
                          <a:prstClr val="white"/>
                        </a:solidFill>
                        <a:ln>
                          <a:noFill/>
                        </a:ln>
                      </wps:spPr>
                      <wps:txbx>
                        <w:txbxContent>
                          <w:p w14:paraId="01099EF8" w14:textId="30FAC6AC" w:rsidR="00E25B5E" w:rsidRPr="00034375" w:rsidRDefault="00E25B5E" w:rsidP="00E25B5E">
                            <w:pPr>
                              <w:pStyle w:val="Beschriftung"/>
                              <w:jc w:val="center"/>
                              <w:rPr>
                                <w:noProof/>
                              </w:rPr>
                            </w:pPr>
                            <w:bookmarkStart w:id="2" w:name="_Ref43788765"/>
                            <w:r>
                              <w:t xml:space="preserve">Abbildung </w:t>
                            </w:r>
                            <w:fldSimple w:instr=" SEQ Abbildung \* ARABIC ">
                              <w:r w:rsidR="00F43E58">
                                <w:rPr>
                                  <w:noProof/>
                                </w:rPr>
                                <w:t>1</w:t>
                              </w:r>
                            </w:fldSimple>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0370048" id="_x0000_t202" coordsize="21600,21600" o:spt="202" path="m,l,21600r21600,l21600,xe">
                <v:stroke joinstyle="miter"/>
                <v:path gradientshapeok="t" o:connecttype="rect"/>
              </v:shapetype>
              <v:shape id="Textfeld 1" o:spid="_x0000_s1026" type="#_x0000_t202" style="position:absolute;margin-left:-28.6pt;margin-top:226.9pt;width:545.3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" stroked="f">
                <v:textbox style="mso-fit-shape-to-text:t" inset="0,0,0,0">
                  <w:txbxContent>
                    <w:p w14:paraId="01099EF8" w14:textId="30FAC6AC" w:rsidR="00E25B5E" w:rsidRPr="00034375" w:rsidRDefault="00E25B5E" w:rsidP="00E25B5E">
                      <w:pPr>
                        <w:pStyle w:val="Beschriftung"/>
                        <w:jc w:val="center"/>
                        <w:rPr>
                          <w:noProof/>
                        </w:rPr>
                      </w:pPr>
                      <w:bookmarkStart w:id="3" w:name="_Ref43788765"/>
                      <w:r>
                        <w:t xml:space="preserve">Abbildung </w:t>
                      </w:r>
                      <w:fldSimple w:instr=" SEQ Abbildung \* ARABIC ">
                        <w:r w:rsidR="00F43E58">
                          <w:rPr>
                            <w:noProof/>
                          </w:rPr>
                          <w:t>1</w:t>
                        </w:r>
                      </w:fldSimple>
                      <w:bookmarkEnd w:id="3"/>
                    </w:p>
                  </w:txbxContent>
                </v:textbox>
                <w10:wrap type="square"/>
              </v:shape>
            </w:pict>
          </mc:Fallback>
        </mc:AlternateContent>
      </w:r>
      <w:r>
        <w:rPr>
          <w:noProof/>
        </w:rPr>
        <w:drawing>
          <wp:anchor distT="0" distB="0" distL="114300" distR="114300" simplePos="0" relativeHeight="251661312" behindDoc="0" locked="0" layoutInCell="1" allowOverlap="1" wp14:anchorId="64B2CBA3" wp14:editId="57F44622">
            <wp:simplePos x="0" y="0"/>
            <wp:positionH relativeFrom="margin">
              <wp:align>right</wp:align>
            </wp:positionH>
            <wp:positionV relativeFrom="paragraph">
              <wp:posOffset>234950</wp:posOffset>
            </wp:positionV>
            <wp:extent cx="5760720" cy="265747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8" cstate="print">
                      <a:extLst>
                        <a:ext uri="{28A0092B-C50C-407E-A947-70E740481C1C}">
                          <a14:useLocalDpi xmlns:a14="http://schemas.microsoft.com/office/drawing/2010/main" val="0"/>
                        </a:ext>
                      </a:extLst>
                    </a:blip>
                    <a:srcRect b="17990"/>
                    <a:stretch/>
                  </pic:blipFill>
                  <pic:spPr bwMode="auto">
                    <a:xfrm>
                      <a:off x="0" y="0"/>
                      <a:ext cx="5760720" cy="2657475"/>
                    </a:xfrm>
                    <a:prstGeom prst="rect">
                      <a:avLst/>
                    </a:prstGeom>
                    <a:ln>
                      <a:noFill/>
                    </a:ln>
                    <a:extLst>
                      <a:ext uri="{53640926-AAD7-44D8-BBD7-CCE9431645EC}">
                        <a14:shadowObscured xmlns:a14="http://schemas.microsoft.com/office/drawing/2010/main"/>
                      </a:ext>
                    </a:extLst>
                  </pic:spPr>
                </pic:pic>
              </a:graphicData>
            </a:graphic>
          </wp:anchor>
        </w:drawing>
      </w:r>
      <w:r w:rsidR="0096763D">
        <w:t xml:space="preserve">Eingabealphabet </w:t>
      </w:r>
      <w:r w:rsidR="0096763D">
        <w:rPr>
          <w:rFonts w:ascii="Arial" w:hAnsi="Arial" w:cs="Arial"/>
        </w:rPr>
        <w:t>Σ</w:t>
      </w:r>
      <w:proofErr w:type="gramStart"/>
      <w:r w:rsidR="0096763D">
        <w:t>={</w:t>
      </w:r>
      <w:proofErr w:type="gramEnd"/>
      <w:r w:rsidR="0096763D">
        <w:t>z, „, “}</w:t>
      </w:r>
    </w:p>
    <w:p w14:paraId="4A3BE80A" w14:textId="1F7621E9" w:rsidR="00E25B5E" w:rsidRDefault="00E25B5E" w:rsidP="00E25B5E">
      <w:r>
        <w:t xml:space="preserve">Der in </w:t>
      </w:r>
      <w:r>
        <w:fldChar w:fldCharType="begin"/>
      </w:r>
      <w:r>
        <w:instrText xml:space="preserve"> REF _Ref43788765 \h </w:instrText>
      </w:r>
      <w:r>
        <w:fldChar w:fldCharType="separate"/>
      </w:r>
      <w:r w:rsidR="00F43E58">
        <w:t xml:space="preserve">Abbildung </w:t>
      </w:r>
      <w:r w:rsidR="00F43E58">
        <w:rPr>
          <w:noProof/>
        </w:rPr>
        <w:t>1</w:t>
      </w:r>
      <w:r>
        <w:fldChar w:fldCharType="end"/>
      </w:r>
      <w:r>
        <w:t xml:space="preserve"> dargestellte </w:t>
      </w:r>
      <w:r w:rsidR="00D343BB">
        <w:t>DEA</w:t>
      </w:r>
      <w:r>
        <w:t xml:space="preserve"> akzeptiert auch ein Zitat in einem Zitat in einem Zitat. </w:t>
      </w:r>
    </w:p>
    <w:p w14:paraId="72D02669" w14:textId="228F38C8" w:rsidR="006D07D1" w:rsidRDefault="006D07D1" w:rsidP="00D343BB">
      <w:pPr>
        <w:pStyle w:val="berschrift3"/>
      </w:pPr>
      <w:r>
        <w:t>Aufgaben</w:t>
      </w:r>
      <w:r w:rsidR="00D343BB">
        <w:t>:</w:t>
      </w:r>
    </w:p>
    <w:p w14:paraId="1797B056" w14:textId="3D37D97C" w:rsidR="006D07D1" w:rsidRDefault="006D07D1" w:rsidP="00B46665">
      <w:pPr>
        <w:pStyle w:val="Listenabsatz"/>
        <w:numPr>
          <w:ilvl w:val="0"/>
          <w:numId w:val="31"/>
        </w:numPr>
        <w:spacing w:after="240"/>
        <w:ind w:left="714" w:hanging="357"/>
      </w:pPr>
      <w:r>
        <w:t xml:space="preserve">Zeigen Sie, dass der Automat die Eingabefolge </w:t>
      </w:r>
      <w:r w:rsidRPr="008752B2">
        <w:rPr>
          <w:rFonts w:ascii="Courier New" w:hAnsi="Courier New" w:cs="Courier New"/>
        </w:rPr>
        <w:t>„„„Zitat“ in einem Zitat“ in einem Zitat“</w:t>
      </w:r>
      <w:r>
        <w:t xml:space="preserve"> akzeptiert.</w:t>
      </w:r>
    </w:p>
    <w:p w14:paraId="780C7047" w14:textId="09E0BF63" w:rsidR="008752B2" w:rsidRDefault="00D343BB" w:rsidP="00B46665">
      <w:pPr>
        <w:pStyle w:val="Listenabsatz"/>
        <w:numPr>
          <w:ilvl w:val="0"/>
          <w:numId w:val="31"/>
        </w:numPr>
        <w:spacing w:before="120"/>
        <w:ind w:left="714" w:hanging="357"/>
      </w:pPr>
      <w:r>
        <w:t xml:space="preserve">Bei einem Zitat in einem Zitat spricht man von der Schachtelungstiefe 1, bei einem Zitat in einem Zitat in einem Zitat von der Schachtelungstiefe 2. Ein einfaches Zitat ist nicht geschachtelt, hat damit also die Schachtelungstiefe 0. Vergleichen Sie den endlichen Automaten aus </w:t>
      </w:r>
      <w:r>
        <w:fldChar w:fldCharType="begin"/>
      </w:r>
      <w:r>
        <w:instrText xml:space="preserve"> REF _Ref43788765 \h </w:instrText>
      </w:r>
      <w:r>
        <w:fldChar w:fldCharType="separate"/>
      </w:r>
      <w:r w:rsidR="00F43E58">
        <w:t xml:space="preserve">Abbildung </w:t>
      </w:r>
      <w:r w:rsidR="00F43E58">
        <w:rPr>
          <w:noProof/>
        </w:rPr>
        <w:t>1</w:t>
      </w:r>
      <w:r>
        <w:fldChar w:fldCharType="end"/>
      </w:r>
      <w:r>
        <w:t xml:space="preserve"> mit </w:t>
      </w:r>
      <w:r w:rsidR="005346D8">
        <w:t>I</w:t>
      </w:r>
      <w:r>
        <w:t xml:space="preserve">hren endlichen Automaten aus den Aufgaben </w:t>
      </w:r>
      <w:r>
        <w:fldChar w:fldCharType="begin"/>
      </w:r>
      <w:r>
        <w:instrText xml:space="preserve"> PAGEREF _Ref43789558 \h </w:instrText>
      </w:r>
      <w:r>
        <w:fldChar w:fldCharType="separate"/>
      </w:r>
      <w:r w:rsidR="00F43E58">
        <w:rPr>
          <w:noProof/>
        </w:rPr>
        <w:t>1</w:t>
      </w:r>
      <w:r>
        <w:fldChar w:fldCharType="end"/>
      </w:r>
      <w:r>
        <w:t>) und 3) und erklären Sie, wie sich eine Erhöhung der Schachtelungstiefe auf den Übergangsgraphen des DEA auswirkt.</w:t>
      </w:r>
    </w:p>
    <w:p w14:paraId="1445EEC3" w14:textId="77777777" w:rsidR="008752B2" w:rsidRDefault="008752B2" w:rsidP="008752B2"/>
    <w:p w14:paraId="5C47F13B" w14:textId="77777777" w:rsidR="00B46665" w:rsidRDefault="008752B2" w:rsidP="008752B2">
      <w:r>
        <w:t xml:space="preserve">Ein Zitat in einem Zitat in einem Zitat kommt in der deutschen Sprache sehr selten vor. Insofern machen weitere Schachtelungstiefen (Zitat in einem Zitat in einem Zitat in …) kaum Sinn. </w:t>
      </w:r>
    </w:p>
    <w:p w14:paraId="5D6BFDA5" w14:textId="5465C527" w:rsidR="0047707B" w:rsidRDefault="00284882" w:rsidP="00AE40CD">
      <w:pPr>
        <w:pStyle w:val="Listenabsatz"/>
        <w:numPr>
          <w:ilvl w:val="0"/>
          <w:numId w:val="31"/>
        </w:numPr>
        <w:spacing w:after="240"/>
        <w:ind w:left="714" w:hanging="357"/>
      </w:pPr>
      <w:r>
        <w:t>Überlegen</w:t>
      </w:r>
      <w:r w:rsidR="00D343BB">
        <w:t xml:space="preserve"> Sie, ob Sie </w:t>
      </w:r>
      <w:r w:rsidR="005551B2">
        <w:t>andere</w:t>
      </w:r>
      <w:r w:rsidR="00D343BB">
        <w:t xml:space="preserve"> Beispiele</w:t>
      </w:r>
      <w:r w:rsidR="005551B2">
        <w:t xml:space="preserve"> für formale Sprachen</w:t>
      </w:r>
      <w:r w:rsidR="00D343BB">
        <w:t xml:space="preserve"> finden, bei denen von „Schachtelungstiefen“ gesprochen werden kann.</w:t>
      </w:r>
    </w:p>
    <w:p w14:paraId="02935383" w14:textId="26597818" w:rsidR="00B44AA0" w:rsidRDefault="00B44AA0" w:rsidP="00AE40CD">
      <w:pPr>
        <w:pStyle w:val="Listenabsatz"/>
        <w:numPr>
          <w:ilvl w:val="0"/>
          <w:numId w:val="31"/>
        </w:numPr>
        <w:spacing w:before="240"/>
        <w:ind w:left="714" w:hanging="357"/>
      </w:pPr>
      <w:r>
        <w:t xml:space="preserve">Bei Zitaten kennen wir die maximale Schachtelungstiefe: wir gehen hier von der Zahl 2 aus. Deshalb </w:t>
      </w:r>
      <w:r w:rsidR="009879A6">
        <w:t xml:space="preserve">kann </w:t>
      </w:r>
      <w:r>
        <w:t>die zugehörige Sprache mithilfe eines DEA modelliert werden. Diskutieren Sie, welche Auswirkungen es haben könnte, wenn man die maximale Schachtelungstiefe nicht kennt</w:t>
      </w:r>
      <w:r w:rsidR="00881647">
        <w:t xml:space="preserve"> bzw. wenn es keine maximale Schachtelungstiefe gibt</w:t>
      </w:r>
      <w:r>
        <w:t>.</w:t>
      </w:r>
    </w:p>
    <w:p w14:paraId="2A4DD2B8" w14:textId="0699A408" w:rsidR="00D343BB" w:rsidRDefault="00D343BB" w:rsidP="008752B2"/>
    <w:p w14:paraId="4F366973" w14:textId="77777777" w:rsidR="00D343BB" w:rsidRDefault="00D343BB" w:rsidP="008752B2"/>
    <w:p w14:paraId="53A07ED8" w14:textId="77777777" w:rsidR="00072978" w:rsidRDefault="00072978" w:rsidP="00072978">
      <w:pPr>
        <w:pStyle w:val="berschrift2"/>
      </w:pPr>
      <w:r>
        <w:lastRenderedPageBreak/>
        <w:t>Klammersprachen</w:t>
      </w:r>
    </w:p>
    <w:p w14:paraId="736DE9DB" w14:textId="1BB04ADC" w:rsidR="00072978" w:rsidRDefault="00072978" w:rsidP="00F551E8">
      <w:r>
        <w:t xml:space="preserve">Die „Sprache“ der Zitate ist eine spezielle </w:t>
      </w:r>
      <w:r w:rsidRPr="00AE40CD">
        <w:rPr>
          <w:rStyle w:val="IntensiveHervorhebung"/>
        </w:rPr>
        <w:t>Klammersprache</w:t>
      </w:r>
      <w:r>
        <w:t xml:space="preserve">. Die öffnenden und schließenden Anführungszeichen </w:t>
      </w:r>
      <w:r w:rsidRPr="00AE40CD">
        <w:rPr>
          <w:rStyle w:val="IntensiveHervorhebung"/>
        </w:rPr>
        <w:t>umklammern</w:t>
      </w:r>
      <w:r>
        <w:t xml:space="preserve"> einen Text – fehlt ein Anführungszeichen oder wird ein falsches Anführungszeichen gesetzt, so ist eine Zeichenfolge syntaktisch falsch.</w:t>
      </w:r>
    </w:p>
    <w:p w14:paraId="65DB0083" w14:textId="7E19E09E" w:rsidR="00072978" w:rsidRDefault="00072978" w:rsidP="00F551E8">
      <w:r>
        <w:t>Es gibt viele weitere Beispiele für Klammersprachen:</w:t>
      </w:r>
    </w:p>
    <w:p w14:paraId="41CB1060" w14:textId="4C5950AE" w:rsidR="00072978" w:rsidRDefault="00072978" w:rsidP="00072978">
      <w:pPr>
        <w:pStyle w:val="Listenabsatz"/>
        <w:numPr>
          <w:ilvl w:val="0"/>
          <w:numId w:val="33"/>
        </w:numPr>
      </w:pPr>
      <w:r>
        <w:t>Taschenrechnereingaben enthalten oft Klammern – dabei gehört jeweils zu jeder öffnenden eine schließende Klammer</w:t>
      </w:r>
      <w:r w:rsidR="00AE40CD">
        <w:t>.</w:t>
      </w:r>
    </w:p>
    <w:p w14:paraId="59980498" w14:textId="4A523328" w:rsidR="00072978" w:rsidRDefault="00072978" w:rsidP="00072978">
      <w:pPr>
        <w:pStyle w:val="Listenabsatz"/>
        <w:numPr>
          <w:ilvl w:val="0"/>
          <w:numId w:val="33"/>
        </w:numPr>
      </w:pPr>
      <w:r>
        <w:t xml:space="preserve">Programmiersprachen enthalten Klammerausdrücke: </w:t>
      </w:r>
    </w:p>
    <w:p w14:paraId="5D6AA162" w14:textId="18CCD15F" w:rsidR="00072978" w:rsidRDefault="005E7565" w:rsidP="00072978">
      <w:pPr>
        <w:pStyle w:val="Listenabsatz"/>
        <w:numPr>
          <w:ilvl w:val="1"/>
          <w:numId w:val="33"/>
        </w:numPr>
      </w:pPr>
      <w:r>
        <w:t>in Java</w:t>
      </w:r>
      <w:r w:rsidR="00072978">
        <w:t xml:space="preserve"> werden Befehlsblöcke </w:t>
      </w:r>
      <w:r>
        <w:t xml:space="preserve">beispielsweise </w:t>
      </w:r>
      <w:r w:rsidR="00072978">
        <w:t xml:space="preserve">mit geschweiften Klammern </w:t>
      </w:r>
      <w:proofErr w:type="gramStart"/>
      <w:r w:rsidR="00072978" w:rsidRPr="00072978">
        <w:rPr>
          <w:rFonts w:ascii="Courier New" w:hAnsi="Courier New" w:cs="Courier New"/>
        </w:rPr>
        <w:t>{</w:t>
      </w:r>
      <w:r w:rsidR="00072978">
        <w:t xml:space="preserve"> und</w:t>
      </w:r>
      <w:proofErr w:type="gramEnd"/>
      <w:r w:rsidR="00072978">
        <w:t xml:space="preserve"> </w:t>
      </w:r>
      <w:r w:rsidR="00072978" w:rsidRPr="00072978">
        <w:rPr>
          <w:rFonts w:ascii="Courier New" w:hAnsi="Courier New" w:cs="Courier New"/>
        </w:rPr>
        <w:t xml:space="preserve">} </w:t>
      </w:r>
      <w:r w:rsidR="00072978">
        <w:t>umschlossen</w:t>
      </w:r>
    </w:p>
    <w:p w14:paraId="47243EF9" w14:textId="02804803" w:rsidR="00072978" w:rsidRDefault="00072978" w:rsidP="00072978">
      <w:pPr>
        <w:pStyle w:val="Listenabsatz"/>
        <w:numPr>
          <w:ilvl w:val="1"/>
          <w:numId w:val="33"/>
        </w:numPr>
      </w:pPr>
      <w:r>
        <w:t>in Delp</w:t>
      </w:r>
      <w:r w:rsidR="0015655E">
        <w:t>h</w:t>
      </w:r>
      <w:r>
        <w:t xml:space="preserve">i werden Befehlsblöcke durch </w:t>
      </w:r>
      <w:proofErr w:type="spellStart"/>
      <w:r w:rsidRPr="00072978">
        <w:rPr>
          <w:rFonts w:ascii="Courier New" w:hAnsi="Courier New" w:cs="Courier New"/>
        </w:rPr>
        <w:t>begin</w:t>
      </w:r>
      <w:proofErr w:type="spellEnd"/>
      <w:r>
        <w:t xml:space="preserve"> und </w:t>
      </w:r>
      <w:r w:rsidRPr="00072978">
        <w:rPr>
          <w:rFonts w:ascii="Courier New" w:hAnsi="Courier New" w:cs="Courier New"/>
        </w:rPr>
        <w:t>end</w:t>
      </w:r>
      <w:r>
        <w:t xml:space="preserve"> umschlossen, das Schlüsselwort </w:t>
      </w:r>
      <w:proofErr w:type="spellStart"/>
      <w:r w:rsidRPr="00072978">
        <w:rPr>
          <w:rFonts w:ascii="Courier New" w:hAnsi="Courier New" w:cs="Courier New"/>
        </w:rPr>
        <w:t>begin</w:t>
      </w:r>
      <w:proofErr w:type="spellEnd"/>
      <w:r>
        <w:t xml:space="preserve"> entspricht also der öffnenden und </w:t>
      </w:r>
      <w:r w:rsidRPr="00072978">
        <w:rPr>
          <w:rFonts w:ascii="Courier New" w:hAnsi="Courier New" w:cs="Courier New"/>
        </w:rPr>
        <w:t>end</w:t>
      </w:r>
      <w:r>
        <w:t xml:space="preserve"> der schließenden Klammer.</w:t>
      </w:r>
    </w:p>
    <w:p w14:paraId="5F1A50FA" w14:textId="650D54E8" w:rsidR="001F0562" w:rsidRPr="001F0562" w:rsidRDefault="001F0562" w:rsidP="00033362">
      <w:pPr>
        <w:pStyle w:val="berschrift2"/>
      </w:pPr>
      <w:r>
        <w:t xml:space="preserve">Die </w:t>
      </w:r>
      <w:r w:rsidR="00B42BE5">
        <w:t>nicht</w:t>
      </w:r>
      <w:r w:rsidR="00FD4E0D">
        <w:t xml:space="preserve"> </w:t>
      </w:r>
      <w:r w:rsidR="00B42BE5">
        <w:t xml:space="preserve">reguläre </w:t>
      </w:r>
      <w:r>
        <w:t>Sprache {</w:t>
      </w:r>
      <w:proofErr w:type="spellStart"/>
      <w:r>
        <w:t>a</w:t>
      </w:r>
      <w:r>
        <w:rPr>
          <w:vertAlign w:val="superscript"/>
        </w:rPr>
        <w:t>n</w:t>
      </w:r>
      <w:r>
        <w:t>b</w:t>
      </w:r>
      <w:r>
        <w:rPr>
          <w:vertAlign w:val="superscript"/>
        </w:rPr>
        <w:t>n</w:t>
      </w:r>
      <w:proofErr w:type="spellEnd"/>
      <w:r w:rsidR="00B42BE5">
        <w:t xml:space="preserve"> | n=1,</w:t>
      </w:r>
      <w:proofErr w:type="gramStart"/>
      <w:r w:rsidR="00B42BE5">
        <w:t>2,3,…</w:t>
      </w:r>
      <w:proofErr w:type="gramEnd"/>
      <w:r>
        <w:t>}</w:t>
      </w:r>
    </w:p>
    <w:p w14:paraId="4138674E" w14:textId="58A5352A" w:rsidR="00DB235D" w:rsidRDefault="001F0562" w:rsidP="00F43823">
      <w:r>
        <w:t>In der Literatur findet man</w:t>
      </w:r>
      <w:r w:rsidR="00AE40CD">
        <w:t xml:space="preserve"> häufig als Beispiel für eine nicht reguläre Sprache</w:t>
      </w:r>
      <w:r>
        <w:t xml:space="preserve">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sidR="00B42BE5">
        <w:rPr>
          <w:rFonts w:ascii="Courier New" w:hAnsi="Courier New" w:cs="Courier New"/>
        </w:rPr>
        <w:t>|n</w:t>
      </w:r>
      <w:proofErr w:type="spellEnd"/>
      <w:r w:rsidR="00B42BE5">
        <w:rPr>
          <w:rFonts w:ascii="Courier New" w:hAnsi="Courier New" w:cs="Courier New"/>
        </w:rPr>
        <w:t>=1,</w:t>
      </w:r>
      <w:proofErr w:type="gramStart"/>
      <w:r w:rsidR="00B42BE5">
        <w:rPr>
          <w:rFonts w:ascii="Courier New" w:hAnsi="Courier New" w:cs="Courier New"/>
        </w:rPr>
        <w:t>2,3,…</w:t>
      </w:r>
      <w:proofErr w:type="gramEnd"/>
      <w:r w:rsidRPr="00AB100E">
        <w:rPr>
          <w:rFonts w:ascii="Courier New" w:hAnsi="Courier New" w:cs="Courier New"/>
        </w:rPr>
        <w:t>}.</w:t>
      </w:r>
      <w:r>
        <w:t xml:space="preserve"> Dabei steht die Bezeichnung </w:t>
      </w:r>
      <w:r w:rsidR="00DB235D" w:rsidRPr="00AB100E">
        <w:rPr>
          <w:rFonts w:ascii="Courier New" w:hAnsi="Courier New" w:cs="Courier New"/>
        </w:rPr>
        <w:t>{</w:t>
      </w:r>
      <w:proofErr w:type="spellStart"/>
      <w:r w:rsidR="00DB235D" w:rsidRPr="00AB100E">
        <w:rPr>
          <w:rFonts w:ascii="Courier New" w:hAnsi="Courier New" w:cs="Courier New"/>
        </w:rPr>
        <w:t>a</w:t>
      </w:r>
      <w:r w:rsidR="00DB235D" w:rsidRPr="00AB100E">
        <w:rPr>
          <w:rFonts w:ascii="Courier New" w:hAnsi="Courier New" w:cs="Courier New"/>
          <w:vertAlign w:val="superscript"/>
        </w:rPr>
        <w:t>n</w:t>
      </w:r>
      <w:r w:rsidR="00DB235D" w:rsidRPr="00AB100E">
        <w:rPr>
          <w:rFonts w:ascii="Courier New" w:hAnsi="Courier New" w:cs="Courier New"/>
        </w:rPr>
        <w:t>b</w:t>
      </w:r>
      <w:r w:rsidR="00DB235D" w:rsidRPr="00AB100E">
        <w:rPr>
          <w:rFonts w:ascii="Courier New" w:hAnsi="Courier New" w:cs="Courier New"/>
          <w:vertAlign w:val="superscript"/>
        </w:rPr>
        <w:t>n</w:t>
      </w:r>
      <w:r w:rsidR="00B42BE5">
        <w:rPr>
          <w:rFonts w:ascii="Courier New" w:hAnsi="Courier New" w:cs="Courier New"/>
        </w:rPr>
        <w:t>|n</w:t>
      </w:r>
      <w:proofErr w:type="spellEnd"/>
      <w:r w:rsidR="00B42BE5">
        <w:rPr>
          <w:rFonts w:ascii="Courier New" w:hAnsi="Courier New" w:cs="Courier New"/>
        </w:rPr>
        <w:t>=1,</w:t>
      </w:r>
      <w:proofErr w:type="gramStart"/>
      <w:r w:rsidR="00B42BE5">
        <w:rPr>
          <w:rFonts w:ascii="Courier New" w:hAnsi="Courier New" w:cs="Courier New"/>
        </w:rPr>
        <w:t>2,3,…</w:t>
      </w:r>
      <w:proofErr w:type="gramEnd"/>
      <w:r w:rsidR="00DB235D" w:rsidRPr="00AB100E">
        <w:rPr>
          <w:rFonts w:ascii="Courier New" w:hAnsi="Courier New" w:cs="Courier New"/>
        </w:rPr>
        <w:t>}</w:t>
      </w:r>
      <w:r w:rsidR="00DB235D">
        <w:t xml:space="preserve"> </w:t>
      </w:r>
      <w:r>
        <w:t>stellvertretend für eine bestimmte Art von Klammerausdrücken</w:t>
      </w:r>
      <w:r w:rsidR="00AE40CD">
        <w:t xml:space="preserve">: </w:t>
      </w:r>
      <w:r w:rsidR="00AD2AF4">
        <w:t xml:space="preserve">eine </w:t>
      </w:r>
      <w:r w:rsidR="00AB100E">
        <w:t xml:space="preserve">gewisse </w:t>
      </w:r>
      <w:r w:rsidR="00AD2AF4">
        <w:t>Anzahl des Zeichens a gefolgt von der gleichen Anzahl des Zeichens b.</w:t>
      </w:r>
      <w:r w:rsidR="00AE40CD">
        <w:t xml:space="preserve"> </w:t>
      </w:r>
      <w:r>
        <w:t xml:space="preserve"> </w:t>
      </w:r>
      <w:r w:rsidR="00DB235D">
        <w:t xml:space="preserve">So gehören beispielsweise die Zeichenfolgen </w:t>
      </w:r>
      <w:proofErr w:type="spellStart"/>
      <w:r w:rsidR="00DB235D" w:rsidRPr="00DB235D">
        <w:rPr>
          <w:rFonts w:ascii="Courier New" w:hAnsi="Courier New" w:cs="Courier New"/>
        </w:rPr>
        <w:t>aabb</w:t>
      </w:r>
      <w:proofErr w:type="spellEnd"/>
      <w:r w:rsidR="00DB235D">
        <w:t xml:space="preserve"> </w:t>
      </w:r>
      <w:r w:rsidR="00AB100E">
        <w:t>oder</w:t>
      </w:r>
      <w:r w:rsidR="00DB235D">
        <w:t xml:space="preserve"> </w:t>
      </w:r>
      <w:proofErr w:type="spellStart"/>
      <w:r w:rsidR="00DB235D" w:rsidRPr="00DB235D">
        <w:rPr>
          <w:rFonts w:ascii="Courier New" w:hAnsi="Courier New" w:cs="Courier New"/>
        </w:rPr>
        <w:t>aaabbb</w:t>
      </w:r>
      <w:proofErr w:type="spellEnd"/>
      <w:r w:rsidR="00DB235D">
        <w:t xml:space="preserve"> zur Sprache </w:t>
      </w:r>
      <w:r w:rsidR="00DB235D" w:rsidRPr="00DB235D">
        <w:rPr>
          <w:rFonts w:ascii="Courier New" w:hAnsi="Courier New" w:cs="Courier New"/>
        </w:rPr>
        <w:t>{</w:t>
      </w:r>
      <w:proofErr w:type="spellStart"/>
      <w:r w:rsidR="00DB235D" w:rsidRPr="00DB235D">
        <w:rPr>
          <w:rFonts w:ascii="Courier New" w:hAnsi="Courier New" w:cs="Courier New"/>
        </w:rPr>
        <w:t>a</w:t>
      </w:r>
      <w:r w:rsidR="00DB235D" w:rsidRPr="00DB235D">
        <w:rPr>
          <w:rFonts w:ascii="Courier New" w:hAnsi="Courier New" w:cs="Courier New"/>
          <w:vertAlign w:val="superscript"/>
        </w:rPr>
        <w:t>n</w:t>
      </w:r>
      <w:r w:rsidR="00DB235D" w:rsidRPr="00DB235D">
        <w:rPr>
          <w:rFonts w:ascii="Courier New" w:hAnsi="Courier New" w:cs="Courier New"/>
        </w:rPr>
        <w:t>b</w:t>
      </w:r>
      <w:r w:rsidR="00DB235D" w:rsidRPr="00DB235D">
        <w:rPr>
          <w:rFonts w:ascii="Courier New" w:hAnsi="Courier New" w:cs="Courier New"/>
          <w:vertAlign w:val="superscript"/>
        </w:rPr>
        <w:t>n</w:t>
      </w:r>
      <w:proofErr w:type="spellEnd"/>
      <w:r w:rsidR="00DB235D" w:rsidRPr="00DB235D">
        <w:rPr>
          <w:rFonts w:ascii="Courier New" w:hAnsi="Courier New" w:cs="Courier New"/>
        </w:rPr>
        <w:t>}</w:t>
      </w:r>
      <w:r w:rsidR="00DB235D">
        <w:t xml:space="preserve">, die Zeichenfolgen </w:t>
      </w:r>
      <w:proofErr w:type="spellStart"/>
      <w:r w:rsidR="00DB235D" w:rsidRPr="00DB235D">
        <w:rPr>
          <w:rFonts w:ascii="Courier New" w:hAnsi="Courier New" w:cs="Courier New"/>
        </w:rPr>
        <w:t>aaab</w:t>
      </w:r>
      <w:proofErr w:type="spellEnd"/>
      <w:r w:rsidR="00DB235D">
        <w:t xml:space="preserve"> und </w:t>
      </w:r>
      <w:proofErr w:type="spellStart"/>
      <w:r w:rsidR="00DB235D" w:rsidRPr="00DB235D">
        <w:rPr>
          <w:rFonts w:ascii="Courier New" w:hAnsi="Courier New" w:cs="Courier New"/>
        </w:rPr>
        <w:t>bbaa</w:t>
      </w:r>
      <w:proofErr w:type="spellEnd"/>
      <w:r w:rsidR="00DB235D">
        <w:t xml:space="preserve"> dagegen nicht.</w:t>
      </w:r>
    </w:p>
    <w:p w14:paraId="1832A3DA" w14:textId="18142A21" w:rsidR="001F0562" w:rsidRDefault="001F0562" w:rsidP="00B42BE5">
      <w:pPr>
        <w:spacing w:after="120"/>
      </w:pPr>
      <w:r>
        <w:t xml:space="preserve">Das </w:t>
      </w:r>
      <w:r w:rsidRPr="00AB100E">
        <w:rPr>
          <w:rFonts w:ascii="Courier New" w:hAnsi="Courier New" w:cs="Courier New"/>
        </w:rPr>
        <w:t>a</w:t>
      </w:r>
      <w:r>
        <w:t xml:space="preserve"> </w:t>
      </w:r>
      <w:r w:rsidR="00AE40CD">
        <w:t>ist Stellvertreter für</w:t>
      </w:r>
      <w:r>
        <w:t xml:space="preserve"> die öffnende Klammer (oder das öffnende Anführungszeichen, das </w:t>
      </w:r>
      <w:proofErr w:type="spellStart"/>
      <w:r w:rsidRPr="00AE40CD">
        <w:rPr>
          <w:rFonts w:ascii="Courier New" w:hAnsi="Courier New" w:cs="Courier New"/>
        </w:rPr>
        <w:t>begin</w:t>
      </w:r>
      <w:proofErr w:type="spellEnd"/>
      <w:r>
        <w:t xml:space="preserve"> eines </w:t>
      </w:r>
      <w:r w:rsidR="00AE40CD">
        <w:t>Delphi-</w:t>
      </w:r>
      <w:r>
        <w:t>Befehlsblocks, die geschweifte Klammer eines Java-Befehlsblocks, die runde öffnende Klammer einer Taschenrechnereingabe</w:t>
      </w:r>
      <w:r w:rsidR="00AE40CD">
        <w:t>…</w:t>
      </w:r>
      <w:r>
        <w:t>)</w:t>
      </w:r>
      <w:r w:rsidR="00AE40CD">
        <w:t xml:space="preserve">, das </w:t>
      </w:r>
      <w:r w:rsidR="00AE40CD" w:rsidRPr="00AB100E">
        <w:rPr>
          <w:rFonts w:ascii="Courier New" w:hAnsi="Courier New" w:cs="Courier New"/>
        </w:rPr>
        <w:t>b</w:t>
      </w:r>
      <w:r w:rsidR="00AE40CD">
        <w:t xml:space="preserve"> für die schließende Klammer (oder das schließende Anführungszeichen, das </w:t>
      </w:r>
      <w:r w:rsidR="00AE40CD" w:rsidRPr="00AE40CD">
        <w:rPr>
          <w:rFonts w:ascii="Courier New" w:hAnsi="Courier New" w:cs="Courier New"/>
        </w:rPr>
        <w:t>end</w:t>
      </w:r>
      <w:r w:rsidR="00AE40CD">
        <w:t xml:space="preserve"> eines Delphi-Befehlsblocks, die schließende geschweifte Klammer eines Java-Befehlsblocks, die runde schließende Klammer einer Taschenrechnereingabe…).</w:t>
      </w:r>
    </w:p>
    <w:p w14:paraId="5EF6960E" w14:textId="77777777" w:rsidR="00FD4E0D" w:rsidRDefault="00AB100E" w:rsidP="00B42BE5">
      <w:pPr>
        <w:spacing w:after="120"/>
      </w:pPr>
      <w:r w:rsidRPr="00AB100E">
        <w:rPr>
          <w:rStyle w:val="berschrift5Zchn"/>
        </w:rPr>
        <w:t>Aufgabe</w:t>
      </w:r>
      <w:r w:rsidR="00FD4E0D">
        <w:rPr>
          <w:rStyle w:val="berschrift5Zchn"/>
        </w:rPr>
        <w:t>n</w:t>
      </w:r>
      <w:r w:rsidRPr="00AB100E">
        <w:rPr>
          <w:rStyle w:val="berschrift5Zchn"/>
        </w:rPr>
        <w:t>:</w:t>
      </w:r>
      <w:r>
        <w:t xml:space="preserve"> </w:t>
      </w:r>
    </w:p>
    <w:p w14:paraId="160FCC7D" w14:textId="5AB268BC" w:rsidR="00C047FB" w:rsidRDefault="00AB100E" w:rsidP="007A5481">
      <w:pPr>
        <w:pStyle w:val="Listenabsatz"/>
        <w:numPr>
          <w:ilvl w:val="0"/>
          <w:numId w:val="31"/>
        </w:numPr>
        <w:spacing w:after="120"/>
      </w:pPr>
      <w:r>
        <w:t xml:space="preserve">Nennen Sie Gemeinsamkeiten und Unterschiede zwischen der Sprache </w:t>
      </w:r>
      <w:r w:rsidRPr="00FD4E0D">
        <w:rPr>
          <w:rFonts w:ascii="Courier New" w:hAnsi="Courier New" w:cs="Courier New"/>
        </w:rPr>
        <w:t>{</w:t>
      </w:r>
      <w:proofErr w:type="spellStart"/>
      <w:r w:rsidRPr="00FD4E0D">
        <w:rPr>
          <w:rFonts w:ascii="Courier New" w:hAnsi="Courier New" w:cs="Courier New"/>
        </w:rPr>
        <w:t>a</w:t>
      </w:r>
      <w:r w:rsidRPr="00FD4E0D">
        <w:rPr>
          <w:rFonts w:ascii="Courier New" w:hAnsi="Courier New" w:cs="Courier New"/>
          <w:vertAlign w:val="superscript"/>
        </w:rPr>
        <w:t>n</w:t>
      </w:r>
      <w:r w:rsidRPr="00FD4E0D">
        <w:rPr>
          <w:rFonts w:ascii="Courier New" w:hAnsi="Courier New" w:cs="Courier New"/>
        </w:rPr>
        <w:t>b</w:t>
      </w:r>
      <w:r w:rsidRPr="00FD4E0D">
        <w:rPr>
          <w:rFonts w:ascii="Courier New" w:hAnsi="Courier New" w:cs="Courier New"/>
          <w:vertAlign w:val="superscript"/>
        </w:rPr>
        <w:t>n</w:t>
      </w:r>
      <w:r w:rsidR="00B42BE5" w:rsidRPr="00FD4E0D">
        <w:rPr>
          <w:rFonts w:ascii="Courier New" w:hAnsi="Courier New" w:cs="Courier New"/>
        </w:rPr>
        <w:t>|n</w:t>
      </w:r>
      <w:proofErr w:type="spellEnd"/>
      <w:r w:rsidR="00B42BE5" w:rsidRPr="00FD4E0D">
        <w:rPr>
          <w:rFonts w:ascii="Courier New" w:hAnsi="Courier New" w:cs="Courier New"/>
        </w:rPr>
        <w:t>=1,</w:t>
      </w:r>
      <w:proofErr w:type="gramStart"/>
      <w:r w:rsidR="00B42BE5" w:rsidRPr="00FD4E0D">
        <w:rPr>
          <w:rFonts w:ascii="Courier New" w:hAnsi="Courier New" w:cs="Courier New"/>
        </w:rPr>
        <w:t>2,3,…</w:t>
      </w:r>
      <w:proofErr w:type="gramEnd"/>
      <w:r w:rsidRPr="00FD4E0D">
        <w:rPr>
          <w:rFonts w:ascii="Courier New" w:hAnsi="Courier New" w:cs="Courier New"/>
        </w:rPr>
        <w:t>}</w:t>
      </w:r>
      <w:r>
        <w:t xml:space="preserve"> und der „Sprache“ der Zitate.</w:t>
      </w:r>
    </w:p>
    <w:p w14:paraId="0968D841" w14:textId="77777777" w:rsidR="007A5481" w:rsidRDefault="007A5481" w:rsidP="007A5481">
      <w:pPr>
        <w:pStyle w:val="Listenabsatz"/>
        <w:spacing w:after="120"/>
      </w:pPr>
    </w:p>
    <w:p w14:paraId="5AB7C5A9" w14:textId="4A676C4F" w:rsidR="00AF05B7" w:rsidRDefault="00B42BE5" w:rsidP="00AE1178">
      <w:pPr>
        <w:spacing w:after="120"/>
      </w:pPr>
      <w:r>
        <w:t xml:space="preserve">Wir </w:t>
      </w:r>
      <w:r w:rsidR="005925DC">
        <w:t xml:space="preserve">werden </w:t>
      </w:r>
      <w:r w:rsidR="00C047FB">
        <w:t xml:space="preserve">im Folgenden </w:t>
      </w:r>
      <w:r w:rsidR="005925DC">
        <w:t>zeigen</w:t>
      </w:r>
      <w:r>
        <w:t xml:space="preserve">, dass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rsidRPr="00B42BE5">
        <w:t xml:space="preserve"> </w:t>
      </w:r>
      <w:r>
        <w:t xml:space="preserve">nicht </w:t>
      </w:r>
      <w:r w:rsidR="005925DC">
        <w:t>durch einen DEA modelliert werden kann</w:t>
      </w:r>
      <w:r>
        <w:t xml:space="preserve">. Wahrscheinlich haben Sie selbst schon eine Vermutung, warum das so ist (vgl. Aufgabe 8). </w:t>
      </w:r>
    </w:p>
    <w:p w14:paraId="485BCC94" w14:textId="6E4BEEF9" w:rsidR="00DB7AEA" w:rsidRDefault="00DB7AEA" w:rsidP="00AE1178">
      <w:pPr>
        <w:pStyle w:val="berschrift3"/>
      </w:pPr>
      <w:r>
        <w:lastRenderedPageBreak/>
        <w:t xml:space="preserve">Begründung </w:t>
      </w:r>
      <w:r w:rsidR="00C039E9">
        <w:t>der</w:t>
      </w:r>
      <w:r>
        <w:t xml:space="preserve"> Nichtexistenz eines DEA</w:t>
      </w:r>
      <w:r w:rsidR="00C674B8">
        <w:t xml:space="preserve"> für die Sprache {</w:t>
      </w:r>
      <w:proofErr w:type="spellStart"/>
      <w:r w:rsidR="00C674B8">
        <w:t>a</w:t>
      </w:r>
      <w:r w:rsidR="00C674B8">
        <w:rPr>
          <w:vertAlign w:val="superscript"/>
        </w:rPr>
        <w:t>n</w:t>
      </w:r>
      <w:r w:rsidR="00C674B8">
        <w:t>b</w:t>
      </w:r>
      <w:r w:rsidR="00C674B8">
        <w:rPr>
          <w:vertAlign w:val="superscript"/>
        </w:rPr>
        <w:t>n</w:t>
      </w:r>
      <w:proofErr w:type="spellEnd"/>
      <w:r w:rsidR="00C674B8">
        <w:t xml:space="preserve"> | n=1,</w:t>
      </w:r>
      <w:proofErr w:type="gramStart"/>
      <w:r w:rsidR="00C674B8">
        <w:t>2,3,…</w:t>
      </w:r>
      <w:proofErr w:type="gramEnd"/>
      <w:r w:rsidR="00C674B8">
        <w:t>}</w:t>
      </w:r>
    </w:p>
    <w:p w14:paraId="4D8AD6C9" w14:textId="77777777" w:rsidR="00F43823" w:rsidRDefault="00F43823" w:rsidP="00F43823">
      <w:pPr>
        <w:keepNext/>
        <w:jc w:val="center"/>
      </w:pPr>
      <w:r>
        <w:rPr>
          <w:noProof/>
        </w:rPr>
        <w:drawing>
          <wp:inline distT="0" distB="0" distL="0" distR="0" wp14:anchorId="0E1BAF65" wp14:editId="3D836BA5">
            <wp:extent cx="4828032" cy="159767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bn3.png"/>
                    <pic:cNvPicPr/>
                  </pic:nvPicPr>
                  <pic:blipFill rotWithShape="1">
                    <a:blip r:embed="rId9" cstate="print">
                      <a:extLst>
                        <a:ext uri="{28A0092B-C50C-407E-A947-70E740481C1C}">
                          <a14:useLocalDpi xmlns:a14="http://schemas.microsoft.com/office/drawing/2010/main" val="0"/>
                        </a:ext>
                      </a:extLst>
                    </a:blip>
                    <a:srcRect t="20095" r="5991" b="24600"/>
                    <a:stretch/>
                  </pic:blipFill>
                  <pic:spPr bwMode="auto">
                    <a:xfrm>
                      <a:off x="0" y="0"/>
                      <a:ext cx="4902385" cy="1622283"/>
                    </a:xfrm>
                    <a:prstGeom prst="rect">
                      <a:avLst/>
                    </a:prstGeom>
                    <a:ln>
                      <a:noFill/>
                    </a:ln>
                    <a:extLst>
                      <a:ext uri="{53640926-AAD7-44D8-BBD7-CCE9431645EC}">
                        <a14:shadowObscured xmlns:a14="http://schemas.microsoft.com/office/drawing/2010/main"/>
                      </a:ext>
                    </a:extLst>
                  </pic:spPr>
                </pic:pic>
              </a:graphicData>
            </a:graphic>
          </wp:inline>
        </w:drawing>
      </w:r>
    </w:p>
    <w:p w14:paraId="32B36690" w14:textId="17317E29" w:rsidR="00B42BE5" w:rsidRDefault="00F43823" w:rsidP="00F43823">
      <w:pPr>
        <w:pStyle w:val="Beschriftung"/>
        <w:jc w:val="center"/>
      </w:pPr>
      <w:bookmarkStart w:id="4" w:name="_Ref43888149"/>
      <w:r>
        <w:t xml:space="preserve">Abbildung </w:t>
      </w:r>
      <w:fldSimple w:instr=" SEQ Abbildung \* ARABIC ">
        <w:r w:rsidR="00F43E58">
          <w:rPr>
            <w:noProof/>
          </w:rPr>
          <w:t>2</w:t>
        </w:r>
      </w:fldSimple>
      <w:bookmarkEnd w:id="4"/>
      <w:r>
        <w:t xml:space="preserve">: Zustandsgraph für Schachtelungstiefe </w:t>
      </w:r>
      <w:r w:rsidR="007F3F5B">
        <w:t>3</w:t>
      </w:r>
      <w:r>
        <w:t>,</w:t>
      </w:r>
      <w:r w:rsidR="006A26A8">
        <w:t xml:space="preserve"> Eingabealphabet </w:t>
      </w:r>
      <w:r w:rsidR="006A26A8">
        <w:rPr>
          <w:rFonts w:ascii="Arial" w:hAnsi="Arial" w:cs="Arial"/>
        </w:rPr>
        <w:t>Σ</w:t>
      </w:r>
      <w:r w:rsidR="006A26A8">
        <w:t>={</w:t>
      </w:r>
      <w:proofErr w:type="spellStart"/>
      <w:proofErr w:type="gramStart"/>
      <w:r w:rsidR="006A26A8">
        <w:t>a,b</w:t>
      </w:r>
      <w:proofErr w:type="spellEnd"/>
      <w:proofErr w:type="gramEnd"/>
      <w:r w:rsidR="006A26A8">
        <w:t>}. N</w:t>
      </w:r>
      <w:r>
        <w:t>icht aufgeführte Übergänge führen in einen Fehlerzustand</w:t>
      </w:r>
      <w:r w:rsidR="006A26A8">
        <w:t>.</w:t>
      </w:r>
    </w:p>
    <w:p w14:paraId="6D124457" w14:textId="77777777" w:rsidR="00B42BE5" w:rsidRDefault="00B42BE5" w:rsidP="00AF05B7"/>
    <w:p w14:paraId="119B1F9B" w14:textId="7F02384B" w:rsidR="009A1ECC" w:rsidRDefault="007F3F5B" w:rsidP="00AF05B7">
      <w:r>
        <w:t xml:space="preserve">In </w:t>
      </w:r>
      <w:r>
        <w:fldChar w:fldCharType="begin"/>
      </w:r>
      <w:r>
        <w:instrText xml:space="preserve"> REF _Ref43888149 \h </w:instrText>
      </w:r>
      <w:r>
        <w:fldChar w:fldCharType="separate"/>
      </w:r>
      <w:r w:rsidR="00F43E58">
        <w:t xml:space="preserve">Abbildung </w:t>
      </w:r>
      <w:r w:rsidR="00F43E58">
        <w:rPr>
          <w:noProof/>
        </w:rPr>
        <w:t>2</w:t>
      </w:r>
      <w:r>
        <w:fldChar w:fldCharType="end"/>
      </w:r>
      <w:r>
        <w:t xml:space="preserve"> ist der Übergangsgraph eines DEA der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=1,2,3,4</w:t>
      </w:r>
      <w:r w:rsidRPr="00AB100E">
        <w:rPr>
          <w:rFonts w:ascii="Courier New" w:hAnsi="Courier New" w:cs="Courier New"/>
        </w:rPr>
        <w:t>}</w:t>
      </w:r>
      <w:r>
        <w:rPr>
          <w:rFonts w:ascii="Courier New" w:hAnsi="Courier New" w:cs="Courier New"/>
        </w:rPr>
        <w:t>,</w:t>
      </w:r>
      <w:r>
        <w:t xml:space="preserve"> d.h. für eine vorgegebene maximale Schachtelungstiefe 3</w:t>
      </w:r>
      <w:r w:rsidR="009A1ECC">
        <w:t>,</w:t>
      </w:r>
      <w:r>
        <w:t xml:space="preserve"> angegeben. Man erkennt, dass man für jede Klammerebene zwingend ein zugehöriges Zustandspaar benötigt. </w:t>
      </w:r>
      <w:r w:rsidR="00B431D7">
        <w:t>Jeder Zustand</w:t>
      </w:r>
      <w:r>
        <w:t xml:space="preserve"> „merkt“ sich quasi die bereits erzielten Anzahlen der Zeichen a und b in einer Eingabe. Zum Beispiel steht der Zustand s2 für genau zwei eingelesene a, der Zustand z3 für noch genau drei einzulesende b. </w:t>
      </w:r>
      <w:r w:rsidR="00B431D7">
        <w:t xml:space="preserve">Möchte man jetzt eine weitere Schachtelungstiefe zulassen, also beispielsweise die Sprache </w:t>
      </w:r>
      <w:r w:rsidR="00B431D7" w:rsidRPr="00AB100E">
        <w:rPr>
          <w:rFonts w:ascii="Courier New" w:hAnsi="Courier New" w:cs="Courier New"/>
        </w:rPr>
        <w:t>{</w:t>
      </w:r>
      <w:proofErr w:type="spellStart"/>
      <w:r w:rsidR="00B431D7" w:rsidRPr="00AB100E">
        <w:rPr>
          <w:rFonts w:ascii="Courier New" w:hAnsi="Courier New" w:cs="Courier New"/>
        </w:rPr>
        <w:t>a</w:t>
      </w:r>
      <w:r w:rsidR="00B431D7" w:rsidRPr="00AB100E">
        <w:rPr>
          <w:rFonts w:ascii="Courier New" w:hAnsi="Courier New" w:cs="Courier New"/>
          <w:vertAlign w:val="superscript"/>
        </w:rPr>
        <w:t>n</w:t>
      </w:r>
      <w:r w:rsidR="00B431D7" w:rsidRPr="00AB100E">
        <w:rPr>
          <w:rFonts w:ascii="Courier New" w:hAnsi="Courier New" w:cs="Courier New"/>
        </w:rPr>
        <w:t>b</w:t>
      </w:r>
      <w:r w:rsidR="00B431D7" w:rsidRPr="00AB100E">
        <w:rPr>
          <w:rFonts w:ascii="Courier New" w:hAnsi="Courier New" w:cs="Courier New"/>
          <w:vertAlign w:val="superscript"/>
        </w:rPr>
        <w:t>n</w:t>
      </w:r>
      <w:r w:rsidR="00B431D7">
        <w:rPr>
          <w:rFonts w:ascii="Courier New" w:hAnsi="Courier New" w:cs="Courier New"/>
        </w:rPr>
        <w:t>|n</w:t>
      </w:r>
      <w:proofErr w:type="spellEnd"/>
      <w:r w:rsidR="00B431D7">
        <w:rPr>
          <w:rFonts w:ascii="Courier New" w:hAnsi="Courier New" w:cs="Courier New"/>
        </w:rPr>
        <w:t>=1,2,3,4,5</w:t>
      </w:r>
      <w:r w:rsidR="00B431D7" w:rsidRPr="00AB100E">
        <w:rPr>
          <w:rFonts w:ascii="Courier New" w:hAnsi="Courier New" w:cs="Courier New"/>
        </w:rPr>
        <w:t>}</w:t>
      </w:r>
      <w:r w:rsidR="009A1ECC">
        <w:rPr>
          <w:rFonts w:ascii="Courier New" w:hAnsi="Courier New" w:cs="Courier New"/>
        </w:rPr>
        <w:t xml:space="preserve"> </w:t>
      </w:r>
      <w:r w:rsidR="00B431D7">
        <w:t>modellieren, so benötigt man zwei weitere Zustände s5 und z4.</w:t>
      </w:r>
      <w:r w:rsidR="009A1ECC">
        <w:t xml:space="preserve"> Dies lässt sich für weitere Schachtelungstiefen analog fortführen: für jede nächsthöhere maximale Schachtelungstiefe benötigt man zwei weitere Zustände.</w:t>
      </w:r>
    </w:p>
    <w:p w14:paraId="66C44CFA" w14:textId="13D54696" w:rsidR="00B26F72" w:rsidRDefault="009A1ECC" w:rsidP="00AF05B7">
      <w:r>
        <w:t xml:space="preserve">Ein deterministischer endlicher Automat verfügt, wie der Name schon sagt, immer nur über endlich viele Zustände. Ein konkreter Übergangsgraph hat also immer nur eine feste, endliche Anzahl an Zuständen. Charakteristisch für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t xml:space="preserve">ist jedoch, dass keine maximale Schachtelungstiefe existiert, dass sie also beliebig lange Ausdrücke a….. b……. enthält. </w:t>
      </w:r>
      <w:r w:rsidR="00E63661">
        <w:t xml:space="preserve">Hat man </w:t>
      </w:r>
      <w:r w:rsidR="000B5CC2">
        <w:t xml:space="preserve">nun </w:t>
      </w:r>
      <w:r w:rsidR="00E63661">
        <w:t xml:space="preserve">einen konkreten DEA mit einer gewissen Anzahl an Zuständen, so findet man immer eine längere Zeichenfolgen der Sprache </w:t>
      </w:r>
      <w:r w:rsidR="00E63661" w:rsidRPr="00AB100E">
        <w:rPr>
          <w:rFonts w:ascii="Courier New" w:hAnsi="Courier New" w:cs="Courier New"/>
        </w:rPr>
        <w:t>{</w:t>
      </w:r>
      <w:proofErr w:type="spellStart"/>
      <w:r w:rsidR="00E63661" w:rsidRPr="00AB100E">
        <w:rPr>
          <w:rFonts w:ascii="Courier New" w:hAnsi="Courier New" w:cs="Courier New"/>
        </w:rPr>
        <w:t>a</w:t>
      </w:r>
      <w:r w:rsidR="00E63661" w:rsidRPr="00AB100E">
        <w:rPr>
          <w:rFonts w:ascii="Courier New" w:hAnsi="Courier New" w:cs="Courier New"/>
          <w:vertAlign w:val="superscript"/>
        </w:rPr>
        <w:t>n</w:t>
      </w:r>
      <w:r w:rsidR="00E63661" w:rsidRPr="00AB100E">
        <w:rPr>
          <w:rFonts w:ascii="Courier New" w:hAnsi="Courier New" w:cs="Courier New"/>
        </w:rPr>
        <w:t>b</w:t>
      </w:r>
      <w:r w:rsidR="00E63661" w:rsidRPr="00AB100E">
        <w:rPr>
          <w:rFonts w:ascii="Courier New" w:hAnsi="Courier New" w:cs="Courier New"/>
          <w:vertAlign w:val="superscript"/>
        </w:rPr>
        <w:t>n</w:t>
      </w:r>
      <w:r w:rsidR="00E63661">
        <w:rPr>
          <w:rFonts w:ascii="Courier New" w:hAnsi="Courier New" w:cs="Courier New"/>
        </w:rPr>
        <w:t>|n</w:t>
      </w:r>
      <w:proofErr w:type="spellEnd"/>
      <w:r w:rsidR="00E63661">
        <w:rPr>
          <w:rFonts w:ascii="Courier New" w:hAnsi="Courier New" w:cs="Courier New"/>
        </w:rPr>
        <w:t>=1,2,3,…</w:t>
      </w:r>
      <w:r w:rsidR="00E63661" w:rsidRPr="00AB100E">
        <w:rPr>
          <w:rFonts w:ascii="Courier New" w:hAnsi="Courier New" w:cs="Courier New"/>
        </w:rPr>
        <w:t>}</w:t>
      </w:r>
      <w:r w:rsidR="00E63661">
        <w:t xml:space="preserve"> , für die der vorhandene DEA nicht ausreicht und eine größere Anzahl an Zuständen zum Merken der bereits erzielten Anzahlen der Zeichen a und b nötig wäre. </w:t>
      </w:r>
      <w:r w:rsidR="00B26F72">
        <w:t xml:space="preserve">Es gibt </w:t>
      </w:r>
      <w:r w:rsidR="00E63661">
        <w:t>somit keinen</w:t>
      </w:r>
      <w:r w:rsidR="00B26F72">
        <w:t xml:space="preserve"> DEA, der die Sprache </w:t>
      </w:r>
      <w:r w:rsidR="00B26F72" w:rsidRPr="00AB100E">
        <w:rPr>
          <w:rFonts w:ascii="Courier New" w:hAnsi="Courier New" w:cs="Courier New"/>
        </w:rPr>
        <w:t>{</w:t>
      </w:r>
      <w:proofErr w:type="spellStart"/>
      <w:r w:rsidR="00B26F72" w:rsidRPr="00AB100E">
        <w:rPr>
          <w:rFonts w:ascii="Courier New" w:hAnsi="Courier New" w:cs="Courier New"/>
        </w:rPr>
        <w:t>a</w:t>
      </w:r>
      <w:r w:rsidR="00B26F72" w:rsidRPr="00AB100E">
        <w:rPr>
          <w:rFonts w:ascii="Courier New" w:hAnsi="Courier New" w:cs="Courier New"/>
          <w:vertAlign w:val="superscript"/>
        </w:rPr>
        <w:t>n</w:t>
      </w:r>
      <w:r w:rsidR="00B26F72" w:rsidRPr="00AB100E">
        <w:rPr>
          <w:rFonts w:ascii="Courier New" w:hAnsi="Courier New" w:cs="Courier New"/>
        </w:rPr>
        <w:t>b</w:t>
      </w:r>
      <w:r w:rsidR="00B26F72" w:rsidRPr="00AB100E">
        <w:rPr>
          <w:rFonts w:ascii="Courier New" w:hAnsi="Courier New" w:cs="Courier New"/>
          <w:vertAlign w:val="superscript"/>
        </w:rPr>
        <w:t>n</w:t>
      </w:r>
      <w:r w:rsidR="00B26F72">
        <w:rPr>
          <w:rFonts w:ascii="Courier New" w:hAnsi="Courier New" w:cs="Courier New"/>
        </w:rPr>
        <w:t>|n</w:t>
      </w:r>
      <w:proofErr w:type="spellEnd"/>
      <w:r w:rsidR="00B26F72">
        <w:rPr>
          <w:rFonts w:ascii="Courier New" w:hAnsi="Courier New" w:cs="Courier New"/>
        </w:rPr>
        <w:t>=1,</w:t>
      </w:r>
      <w:proofErr w:type="gramStart"/>
      <w:r w:rsidR="00B26F72">
        <w:rPr>
          <w:rFonts w:ascii="Courier New" w:hAnsi="Courier New" w:cs="Courier New"/>
        </w:rPr>
        <w:t>2,3,…</w:t>
      </w:r>
      <w:proofErr w:type="gramEnd"/>
      <w:r w:rsidR="00B26F72" w:rsidRPr="00AB100E">
        <w:rPr>
          <w:rFonts w:ascii="Courier New" w:hAnsi="Courier New" w:cs="Courier New"/>
        </w:rPr>
        <w:t>}</w:t>
      </w:r>
      <w:r w:rsidR="00CB7916">
        <w:rPr>
          <w:rFonts w:ascii="Courier New" w:hAnsi="Courier New" w:cs="Courier New"/>
        </w:rPr>
        <w:t xml:space="preserve"> </w:t>
      </w:r>
      <w:r w:rsidR="00B26F72">
        <w:t>akzeptiert.</w:t>
      </w:r>
    </w:p>
    <w:p w14:paraId="5C0400EB" w14:textId="77777777" w:rsidR="000B3D5A" w:rsidRDefault="000B3D5A">
      <w:pPr>
        <w:spacing w:after="160" w:line="259" w:lineRule="auto"/>
        <w:rPr>
          <w:rFonts w:asciiTheme="majorHAnsi" w:eastAsiaTheme="majorEastAsia" w:hAnsiTheme="majorHAnsi" w:cstheme="majorBidi"/>
          <w:color w:val="4E6B9E"/>
          <w:sz w:val="26"/>
          <w:szCs w:val="26"/>
        </w:rPr>
      </w:pPr>
      <w:r>
        <w:br w:type="page"/>
      </w:r>
    </w:p>
    <w:p w14:paraId="0C82E65F" w14:textId="056C836A" w:rsidR="00B26F72" w:rsidRDefault="000B3D5A" w:rsidP="00D878EA">
      <w:pPr>
        <w:pStyle w:val="berschrift2"/>
      </w:pPr>
      <w:r>
        <w:lastRenderedPageBreak/>
        <w:t>Regulär</w:t>
      </w:r>
      <w:r w:rsidR="00364D3C">
        <w:t>e Sprache</w:t>
      </w:r>
      <w:r w:rsidR="00F11E5F">
        <w:t xml:space="preserve"> oder nicht</w:t>
      </w:r>
      <w:r w:rsidR="00D878EA">
        <w:t>?</w:t>
      </w:r>
    </w:p>
    <w:p w14:paraId="7880C6B2" w14:textId="77777777" w:rsidR="007A5481" w:rsidRDefault="007A5481" w:rsidP="00AF05B7">
      <w:r>
        <w:t xml:space="preserve">Jede formale Sprache, für die ein DEA als </w:t>
      </w:r>
      <w:proofErr w:type="spellStart"/>
      <w:r>
        <w:t>Erkennendensystem</w:t>
      </w:r>
      <w:proofErr w:type="spellEnd"/>
      <w:r>
        <w:t xml:space="preserve"> entwickelt werden kann, ist eine sogenannte reguläre Sprache. Aber wir haben bereits Beispiele für formale Sprachen kennengelernt, die keine reguläre Sprachen sind. Wie entscheidet man nun, ob eine Sprache regulär ist?</w:t>
      </w:r>
    </w:p>
    <w:p w14:paraId="6E1F5371" w14:textId="37EA16F6" w:rsidR="00364D3C" w:rsidRDefault="000B3D5A" w:rsidP="00AF05B7">
      <w:r>
        <w:t xml:space="preserve">Zum Nachweis, dass eine formale Sprache regulär ist, </w:t>
      </w:r>
      <w:proofErr w:type="gramStart"/>
      <w:r>
        <w:t>genügt es</w:t>
      </w:r>
      <w:proofErr w:type="gramEnd"/>
      <w:r>
        <w:t xml:space="preserve">, </w:t>
      </w:r>
      <w:r w:rsidR="007A5481">
        <w:t>einen</w:t>
      </w:r>
      <w:r>
        <w:t xml:space="preserve"> DEA zum Erkennen der Sprache </w:t>
      </w:r>
      <w:r w:rsidR="007A5481">
        <w:t>anzugeben</w:t>
      </w:r>
      <w:r>
        <w:t xml:space="preserve">. </w:t>
      </w:r>
    </w:p>
    <w:p w14:paraId="20772A71" w14:textId="2E3F7A28" w:rsidR="00CB4CD6" w:rsidRDefault="009A3803" w:rsidP="00AF05B7">
      <w:pPr>
        <w:rPr>
          <w:rFonts w:ascii="Courier New" w:hAnsi="Courier New" w:cs="Courier New"/>
        </w:rPr>
      </w:pPr>
      <w:r>
        <w:t xml:space="preserve">Will man dagegen </w:t>
      </w:r>
      <w:r w:rsidR="007A5481">
        <w:t>nachweisen</w:t>
      </w:r>
      <w:r>
        <w:t xml:space="preserve">, dass eine </w:t>
      </w:r>
      <w:r w:rsidR="00364D3C">
        <w:t xml:space="preserve">gegebene </w:t>
      </w:r>
      <w:r>
        <w:t xml:space="preserve">Sprache nicht regulär ist, </w:t>
      </w:r>
      <w:r w:rsidR="007A5481">
        <w:t>muss man ausführlicher begründen</w:t>
      </w:r>
      <w:r w:rsidR="00364D3C">
        <w:t>.</w:t>
      </w:r>
      <w:r>
        <w:t xml:space="preserve"> </w:t>
      </w:r>
      <w:r w:rsidR="00364D3C">
        <w:t xml:space="preserve">Die Argumentation erfolgt häufig analog zu obiger Begründung der Nichtexistenz eines DEA für die Sprache </w:t>
      </w:r>
      <w:r w:rsidR="00364D3C" w:rsidRPr="00AB100E">
        <w:rPr>
          <w:rFonts w:ascii="Courier New" w:hAnsi="Courier New" w:cs="Courier New"/>
        </w:rPr>
        <w:t>{</w:t>
      </w:r>
      <w:proofErr w:type="spellStart"/>
      <w:r w:rsidR="00364D3C" w:rsidRPr="00AB100E">
        <w:rPr>
          <w:rFonts w:ascii="Courier New" w:hAnsi="Courier New" w:cs="Courier New"/>
        </w:rPr>
        <w:t>a</w:t>
      </w:r>
      <w:r w:rsidR="00364D3C" w:rsidRPr="00AB100E">
        <w:rPr>
          <w:rFonts w:ascii="Courier New" w:hAnsi="Courier New" w:cs="Courier New"/>
          <w:vertAlign w:val="superscript"/>
        </w:rPr>
        <w:t>n</w:t>
      </w:r>
      <w:r w:rsidR="00364D3C" w:rsidRPr="00AB100E">
        <w:rPr>
          <w:rFonts w:ascii="Courier New" w:hAnsi="Courier New" w:cs="Courier New"/>
        </w:rPr>
        <w:t>b</w:t>
      </w:r>
      <w:r w:rsidR="00364D3C" w:rsidRPr="00AB100E">
        <w:rPr>
          <w:rFonts w:ascii="Courier New" w:hAnsi="Courier New" w:cs="Courier New"/>
          <w:vertAlign w:val="superscript"/>
        </w:rPr>
        <w:t>n</w:t>
      </w:r>
      <w:r w:rsidR="00364D3C">
        <w:rPr>
          <w:rFonts w:ascii="Courier New" w:hAnsi="Courier New" w:cs="Courier New"/>
        </w:rPr>
        <w:t>|n</w:t>
      </w:r>
      <w:proofErr w:type="spellEnd"/>
      <w:r w:rsidR="00364D3C">
        <w:rPr>
          <w:rFonts w:ascii="Courier New" w:hAnsi="Courier New" w:cs="Courier New"/>
        </w:rPr>
        <w:t>=1,</w:t>
      </w:r>
      <w:proofErr w:type="gramStart"/>
      <w:r w:rsidR="00364D3C">
        <w:rPr>
          <w:rFonts w:ascii="Courier New" w:hAnsi="Courier New" w:cs="Courier New"/>
        </w:rPr>
        <w:t>2,3,…</w:t>
      </w:r>
      <w:proofErr w:type="gramEnd"/>
      <w:r w:rsidR="00364D3C" w:rsidRPr="00AB100E">
        <w:rPr>
          <w:rFonts w:ascii="Courier New" w:hAnsi="Courier New" w:cs="Courier New"/>
        </w:rPr>
        <w:t>}</w:t>
      </w:r>
      <w:r w:rsidR="00364D3C">
        <w:rPr>
          <w:rFonts w:ascii="Courier New" w:hAnsi="Courier New" w:cs="Courier New"/>
        </w:rPr>
        <w:t>.</w:t>
      </w:r>
    </w:p>
    <w:p w14:paraId="543E2726" w14:textId="77777777" w:rsidR="007A5481" w:rsidRDefault="007A5481" w:rsidP="00AF05B7"/>
    <w:p w14:paraId="42CB8BA6" w14:textId="40E5EBC2" w:rsidR="000B3D5A" w:rsidRDefault="000B3D5A" w:rsidP="000B3D5A">
      <w:pPr>
        <w:pStyle w:val="berschrift5"/>
      </w:pPr>
      <w:r>
        <w:t>Aufgaben:</w:t>
      </w:r>
    </w:p>
    <w:p w14:paraId="33279EB5" w14:textId="6F70B5BE" w:rsidR="00CA2A11" w:rsidRDefault="00CA2A11" w:rsidP="00AF05B7">
      <w:r>
        <w:t>Entscheiden Sie für die folgenden Sprachen jeweils begründet, ob sie regulär sind oder nic</w:t>
      </w:r>
      <w:r w:rsidR="000B3D5A">
        <w:t xml:space="preserve">ht. </w:t>
      </w:r>
      <w:r w:rsidR="009A3803">
        <w:t>Entwickeln Sie, falls möglich, den Übergangsgraphen eines DEA zur Modellierung der Sprache.</w:t>
      </w:r>
    </w:p>
    <w:p w14:paraId="47FA571D" w14:textId="63CC9D6F" w:rsidR="00CA2A11" w:rsidRDefault="00CA2A11" w:rsidP="00CA2A11">
      <w:pPr>
        <w:pStyle w:val="Listenabsatz"/>
        <w:numPr>
          <w:ilvl w:val="0"/>
          <w:numId w:val="31"/>
        </w:numPr>
      </w:pPr>
      <w:r>
        <w:t>Die Sprache gültiger Klammerausdrücke für Taschenrechnereingaben. Dabei soll nur auf korrekte Klammerung mit runden Klammern geachtet werden, andere Eingabezeichen können ignoriert werden. Gültige Klammerausdrücke wären beispielsweise ((</w:t>
      </w:r>
      <w:proofErr w:type="gramStart"/>
      <w:r>
        <w:t>))(</w:t>
      </w:r>
      <w:proofErr w:type="gramEnd"/>
      <w:r>
        <w:t>) oder ()()(()()).</w:t>
      </w:r>
    </w:p>
    <w:p w14:paraId="67F441D3" w14:textId="309356FC" w:rsidR="00CA2A11" w:rsidRDefault="00CA2A11" w:rsidP="00CA2A11">
      <w:pPr>
        <w:pStyle w:val="Listenabsatz"/>
        <w:numPr>
          <w:ilvl w:val="0"/>
          <w:numId w:val="31"/>
        </w:numPr>
      </w:pPr>
      <w:r>
        <w:t xml:space="preserve">In Kaufhäusern findet man häufig </w:t>
      </w:r>
      <w:r w:rsidR="00CB4CD6">
        <w:t>für Kundenkarteninhaber günstigere Preise als für andere Kunden. Die günstigeren Preise werden dann in Klammern hinter dem Normalpreis angegeben.</w:t>
      </w:r>
    </w:p>
    <w:p w14:paraId="1F7CDD1D" w14:textId="77777777" w:rsidR="00364D3C" w:rsidRDefault="00364D3C" w:rsidP="00364D3C">
      <w:pPr>
        <w:pStyle w:val="Listenabsatz"/>
      </w:pPr>
    </w:p>
    <w:p w14:paraId="30F6BBCE" w14:textId="619E9F40" w:rsidR="00CB4CD6" w:rsidRDefault="00CB4CD6" w:rsidP="00CB4CD6">
      <w:pPr>
        <w:pStyle w:val="berschrift2"/>
      </w:pPr>
      <w:r>
        <w:t>Ausblick</w:t>
      </w:r>
    </w:p>
    <w:p w14:paraId="76206AEE" w14:textId="503CE89C" w:rsidR="00AF05B7" w:rsidRDefault="00CB4CD6" w:rsidP="00CB4CD6">
      <w:r>
        <w:t>Neben regulären Sprachen gibt es weitere Sprachklassen. So gehören Klammersprachen zu den sogenannten kontextfreien Sprache</w:t>
      </w:r>
      <w:r w:rsidR="00CE1D2F">
        <w:t xml:space="preserve">n. </w:t>
      </w:r>
      <w:r w:rsidR="00364D3C">
        <w:t>Das</w:t>
      </w:r>
      <w:r w:rsidR="00CE1D2F">
        <w:t xml:space="preserve"> Automatenmodell des DEA kann </w:t>
      </w:r>
      <w:r w:rsidR="00364D3C">
        <w:t xml:space="preserve">dafür </w:t>
      </w:r>
      <w:r w:rsidR="00EC363F">
        <w:t>auf das Modell von Kellerautomaten</w:t>
      </w:r>
      <w:r w:rsidR="00CE1D2F">
        <w:t xml:space="preserve"> erweitert werden, </w:t>
      </w:r>
      <w:r w:rsidR="00EC363F">
        <w:t>welche</w:t>
      </w:r>
      <w:r w:rsidR="00CE1D2F">
        <w:t xml:space="preserve"> </w:t>
      </w:r>
      <w:r w:rsidR="00EC363F">
        <w:t>dann beispielsweise Klammersprachen</w:t>
      </w:r>
      <w:r w:rsidR="00CE1D2F">
        <w:t xml:space="preserve"> akzeptier</w:t>
      </w:r>
      <w:r w:rsidR="00EC363F">
        <w:t>en</w:t>
      </w:r>
      <w:r w:rsidR="00CE1D2F">
        <w:t xml:space="preserve">. </w:t>
      </w:r>
    </w:p>
    <w:p w14:paraId="47AD9A9C" w14:textId="068FB373" w:rsidR="00AF05B7" w:rsidRDefault="00AF05B7" w:rsidP="00AF05B7"/>
    <w:p w14:paraId="7A81965E" w14:textId="77777777" w:rsidR="00A3646E" w:rsidRDefault="00A3646E" w:rsidP="00A3646E">
      <w:pPr>
        <w:pStyle w:val="berschrift2"/>
        <w:spacing w:before="360"/>
      </w:pPr>
    </w:p>
    <w:p w14:paraId="012911C6" w14:textId="007097F1" w:rsidR="00A3646E" w:rsidRDefault="00A3646E" w:rsidP="00A3646E">
      <w:pPr>
        <w:pStyle w:val="berschrift2"/>
        <w:spacing w:before="360"/>
      </w:pPr>
      <w:r>
        <w:t>Hinweis</w:t>
      </w:r>
    </w:p>
    <w:p w14:paraId="1F9B8943" w14:textId="77777777" w:rsidR="00A3646E" w:rsidRDefault="00A3646E" w:rsidP="00A3646E">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p w14:paraId="51E3F0A2" w14:textId="0AB9A1B3" w:rsidR="00364D3C" w:rsidRDefault="00A3646E" w:rsidP="00A3646E">
      <w:pPr>
        <w:pStyle w:val="berschrift2"/>
      </w:pPr>
      <w:r>
        <w:t>Lizenz</w:t>
      </w:r>
    </w:p>
    <w:p w14:paraId="627BED87" w14:textId="143B53AA" w:rsidR="00970575" w:rsidRDefault="00062972">
      <w:r>
        <w:t>Di</w:t>
      </w:r>
      <w:r w:rsidRPr="0027492F">
        <w:t>eses Werk ist lizenziert unter</w:t>
      </w:r>
      <w:r>
        <w:t xml:space="preserve"> einer </w:t>
      </w:r>
      <w:hyperlink r:id="rId10" w:history="1">
        <w:r w:rsidRPr="00653993">
          <w:rPr>
            <w:rStyle w:val="Hyperlink"/>
            <w:color w:val="4E6B9E"/>
            <w:u w:val="none"/>
          </w:rPr>
          <w:t>Creative Commons Namensnennung - Nicht-kommerziell - Weitergabe unter gleichen Bedingungen 4.0 International Lizenz</w:t>
        </w:r>
        <w:r w:rsidRPr="00653993">
          <w:rPr>
            <w:rStyle w:val="Hyperlink"/>
            <w:color w:val="auto"/>
            <w:u w:val="none"/>
          </w:rPr>
          <w:t>.</w:t>
        </w:r>
      </w:hyperlink>
      <w:r w:rsidRPr="0027492F">
        <w:t xml:space="preserve"> </w:t>
      </w:r>
      <w:r>
        <w:t>Sie erlaubt Bearbeitungen und Weiterverteilung des Werks unter Nennung meines Namens und unter gleichen Bedingungen, jedoch keinerlei kommerzielle Nutzung.</w:t>
      </w:r>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0ED14" w14:textId="77777777" w:rsidR="008B25D1" w:rsidRDefault="008B25D1" w:rsidP="006D1346">
      <w:pPr>
        <w:spacing w:after="0" w:line="240" w:lineRule="auto"/>
      </w:pPr>
      <w:r>
        <w:separator/>
      </w:r>
    </w:p>
  </w:endnote>
  <w:endnote w:type="continuationSeparator" w:id="0">
    <w:p w14:paraId="69CF4303" w14:textId="77777777" w:rsidR="008B25D1" w:rsidRDefault="008B25D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A631B69"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C10D6E">
      <w:rPr>
        <w:color w:val="808080" w:themeColor="background1" w:themeShade="80"/>
        <w:sz w:val="20"/>
        <w:szCs w:val="20"/>
      </w:rPr>
      <w:t xml:space="preserve">September </w:t>
    </w:r>
    <w:r w:rsidR="006942EE">
      <w:rPr>
        <w:color w:val="808080" w:themeColor="background1" w:themeShade="80"/>
        <w:sz w:val="20"/>
        <w:szCs w:val="20"/>
      </w:rPr>
      <w:t>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42372" w14:textId="77777777" w:rsidR="008B25D1" w:rsidRDefault="008B25D1" w:rsidP="006D1346">
      <w:pPr>
        <w:spacing w:after="0" w:line="240" w:lineRule="auto"/>
      </w:pPr>
      <w:r>
        <w:separator/>
      </w:r>
    </w:p>
  </w:footnote>
  <w:footnote w:type="continuationSeparator" w:id="0">
    <w:p w14:paraId="5872EDF3" w14:textId="77777777" w:rsidR="008B25D1" w:rsidRDefault="008B25D1"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DA772B"/>
    <w:multiLevelType w:val="hybridMultilevel"/>
    <w:tmpl w:val="EF6A7952"/>
    <w:lvl w:ilvl="0" w:tplc="D86EAE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3F7F5F"/>
    <w:multiLevelType w:val="hybridMultilevel"/>
    <w:tmpl w:val="5374DE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6C099D"/>
    <w:multiLevelType w:val="hybridMultilevel"/>
    <w:tmpl w:val="D67AB734"/>
    <w:lvl w:ilvl="0" w:tplc="A1FA7DD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D79356B"/>
    <w:multiLevelType w:val="hybridMultilevel"/>
    <w:tmpl w:val="140670D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EFD0C3D"/>
    <w:multiLevelType w:val="hybridMultilevel"/>
    <w:tmpl w:val="687E0F2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C1606F"/>
    <w:multiLevelType w:val="hybridMultilevel"/>
    <w:tmpl w:val="7156747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9EC3E27"/>
    <w:multiLevelType w:val="hybridMultilevel"/>
    <w:tmpl w:val="3420056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A150CE"/>
    <w:multiLevelType w:val="hybridMultilevel"/>
    <w:tmpl w:val="417A76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2"/>
  </w:num>
  <w:num w:numId="2">
    <w:abstractNumId w:val="28"/>
  </w:num>
  <w:num w:numId="3">
    <w:abstractNumId w:val="5"/>
  </w:num>
  <w:num w:numId="4">
    <w:abstractNumId w:val="24"/>
  </w:num>
  <w:num w:numId="5">
    <w:abstractNumId w:val="31"/>
  </w:num>
  <w:num w:numId="6">
    <w:abstractNumId w:val="29"/>
  </w:num>
  <w:num w:numId="7">
    <w:abstractNumId w:val="18"/>
  </w:num>
  <w:num w:numId="8">
    <w:abstractNumId w:val="15"/>
  </w:num>
  <w:num w:numId="9">
    <w:abstractNumId w:val="0"/>
  </w:num>
  <w:num w:numId="10">
    <w:abstractNumId w:val="14"/>
  </w:num>
  <w:num w:numId="11">
    <w:abstractNumId w:val="2"/>
  </w:num>
  <w:num w:numId="12">
    <w:abstractNumId w:val="26"/>
  </w:num>
  <w:num w:numId="13">
    <w:abstractNumId w:val="1"/>
  </w:num>
  <w:num w:numId="14">
    <w:abstractNumId w:val="9"/>
  </w:num>
  <w:num w:numId="15">
    <w:abstractNumId w:val="12"/>
  </w:num>
  <w:num w:numId="16">
    <w:abstractNumId w:val="16"/>
  </w:num>
  <w:num w:numId="17">
    <w:abstractNumId w:val="13"/>
  </w:num>
  <w:num w:numId="18">
    <w:abstractNumId w:val="6"/>
  </w:num>
  <w:num w:numId="19">
    <w:abstractNumId w:val="4"/>
  </w:num>
  <w:num w:numId="20">
    <w:abstractNumId w:val="30"/>
  </w:num>
  <w:num w:numId="21">
    <w:abstractNumId w:val="21"/>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0"/>
  </w:num>
  <w:num w:numId="27">
    <w:abstractNumId w:val="11"/>
  </w:num>
  <w:num w:numId="28">
    <w:abstractNumId w:val="25"/>
  </w:num>
  <w:num w:numId="29">
    <w:abstractNumId w:val="8"/>
  </w:num>
  <w:num w:numId="30">
    <w:abstractNumId w:val="3"/>
  </w:num>
  <w:num w:numId="31">
    <w:abstractNumId w:val="19"/>
  </w:num>
  <w:num w:numId="32">
    <w:abstractNumId w:val="27"/>
  </w:num>
  <w:num w:numId="33">
    <w:abstractNumId w:val="7"/>
  </w:num>
  <w:num w:numId="34">
    <w:abstractNumId w:val="17"/>
  </w:num>
  <w:num w:numId="35">
    <w:abstractNumId w:val="23"/>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33362"/>
    <w:rsid w:val="00035F27"/>
    <w:rsid w:val="00062972"/>
    <w:rsid w:val="00071419"/>
    <w:rsid w:val="00072978"/>
    <w:rsid w:val="00072ED2"/>
    <w:rsid w:val="00087065"/>
    <w:rsid w:val="00093AC4"/>
    <w:rsid w:val="000B3D5A"/>
    <w:rsid w:val="000B5CC2"/>
    <w:rsid w:val="000C73BC"/>
    <w:rsid w:val="000D1122"/>
    <w:rsid w:val="00126D3F"/>
    <w:rsid w:val="0015655E"/>
    <w:rsid w:val="00186A5F"/>
    <w:rsid w:val="001A0E6C"/>
    <w:rsid w:val="001B0A27"/>
    <w:rsid w:val="001C0058"/>
    <w:rsid w:val="001C2D07"/>
    <w:rsid w:val="001C3329"/>
    <w:rsid w:val="001C48E7"/>
    <w:rsid w:val="001F0562"/>
    <w:rsid w:val="001F503D"/>
    <w:rsid w:val="001F622A"/>
    <w:rsid w:val="00221D86"/>
    <w:rsid w:val="00244639"/>
    <w:rsid w:val="00264EA1"/>
    <w:rsid w:val="00272F66"/>
    <w:rsid w:val="00284882"/>
    <w:rsid w:val="00292425"/>
    <w:rsid w:val="002A17A5"/>
    <w:rsid w:val="002D1A19"/>
    <w:rsid w:val="002D6229"/>
    <w:rsid w:val="002E40AB"/>
    <w:rsid w:val="002E6C95"/>
    <w:rsid w:val="003056EA"/>
    <w:rsid w:val="003175CC"/>
    <w:rsid w:val="003179DB"/>
    <w:rsid w:val="00323E72"/>
    <w:rsid w:val="003263D6"/>
    <w:rsid w:val="00327917"/>
    <w:rsid w:val="00330DB0"/>
    <w:rsid w:val="00334221"/>
    <w:rsid w:val="00355AB3"/>
    <w:rsid w:val="00364D3C"/>
    <w:rsid w:val="00381B15"/>
    <w:rsid w:val="003906DC"/>
    <w:rsid w:val="003B0752"/>
    <w:rsid w:val="003B7431"/>
    <w:rsid w:val="003E0CC4"/>
    <w:rsid w:val="003E4F79"/>
    <w:rsid w:val="003F45B4"/>
    <w:rsid w:val="003F5E3B"/>
    <w:rsid w:val="0040418C"/>
    <w:rsid w:val="00412C43"/>
    <w:rsid w:val="00415B86"/>
    <w:rsid w:val="0042385F"/>
    <w:rsid w:val="00423B0F"/>
    <w:rsid w:val="00423EB3"/>
    <w:rsid w:val="00433A84"/>
    <w:rsid w:val="00433FED"/>
    <w:rsid w:val="00437449"/>
    <w:rsid w:val="00445135"/>
    <w:rsid w:val="00461441"/>
    <w:rsid w:val="0047707B"/>
    <w:rsid w:val="004832B8"/>
    <w:rsid w:val="004850AB"/>
    <w:rsid w:val="00494093"/>
    <w:rsid w:val="004B0D19"/>
    <w:rsid w:val="004B35A7"/>
    <w:rsid w:val="004C259A"/>
    <w:rsid w:val="004C335C"/>
    <w:rsid w:val="004D73CC"/>
    <w:rsid w:val="004F1042"/>
    <w:rsid w:val="00507A1C"/>
    <w:rsid w:val="00507C9F"/>
    <w:rsid w:val="005162F0"/>
    <w:rsid w:val="0052675A"/>
    <w:rsid w:val="0053416E"/>
    <w:rsid w:val="005346D8"/>
    <w:rsid w:val="005369A0"/>
    <w:rsid w:val="00543B06"/>
    <w:rsid w:val="005524C1"/>
    <w:rsid w:val="00554E24"/>
    <w:rsid w:val="005551B2"/>
    <w:rsid w:val="005925DC"/>
    <w:rsid w:val="005D5875"/>
    <w:rsid w:val="005E301E"/>
    <w:rsid w:val="005E5D30"/>
    <w:rsid w:val="005E7565"/>
    <w:rsid w:val="005F6623"/>
    <w:rsid w:val="00600140"/>
    <w:rsid w:val="006036D1"/>
    <w:rsid w:val="0063498A"/>
    <w:rsid w:val="006463F8"/>
    <w:rsid w:val="006464A2"/>
    <w:rsid w:val="00653993"/>
    <w:rsid w:val="00693FB8"/>
    <w:rsid w:val="006942EE"/>
    <w:rsid w:val="006A26A8"/>
    <w:rsid w:val="006B2673"/>
    <w:rsid w:val="006B39C8"/>
    <w:rsid w:val="006D07D1"/>
    <w:rsid w:val="006D1346"/>
    <w:rsid w:val="006D2CB4"/>
    <w:rsid w:val="006E07FD"/>
    <w:rsid w:val="006F44AA"/>
    <w:rsid w:val="00725A4D"/>
    <w:rsid w:val="007272DB"/>
    <w:rsid w:val="00737AFC"/>
    <w:rsid w:val="007417B5"/>
    <w:rsid w:val="0074626D"/>
    <w:rsid w:val="007674A3"/>
    <w:rsid w:val="00767591"/>
    <w:rsid w:val="0077058E"/>
    <w:rsid w:val="0078342D"/>
    <w:rsid w:val="00791D43"/>
    <w:rsid w:val="00793006"/>
    <w:rsid w:val="007A24FC"/>
    <w:rsid w:val="007A5481"/>
    <w:rsid w:val="007A567C"/>
    <w:rsid w:val="007B71A1"/>
    <w:rsid w:val="007C1345"/>
    <w:rsid w:val="007D022E"/>
    <w:rsid w:val="007D4B8E"/>
    <w:rsid w:val="007D72BF"/>
    <w:rsid w:val="007E2D0D"/>
    <w:rsid w:val="007F3F5B"/>
    <w:rsid w:val="00805FFD"/>
    <w:rsid w:val="00844EA0"/>
    <w:rsid w:val="008508C6"/>
    <w:rsid w:val="00857C67"/>
    <w:rsid w:val="0086041E"/>
    <w:rsid w:val="00866D61"/>
    <w:rsid w:val="00871052"/>
    <w:rsid w:val="00871F70"/>
    <w:rsid w:val="008752B2"/>
    <w:rsid w:val="00881647"/>
    <w:rsid w:val="008A360B"/>
    <w:rsid w:val="008A6407"/>
    <w:rsid w:val="008B14DF"/>
    <w:rsid w:val="008B25D1"/>
    <w:rsid w:val="008D75AA"/>
    <w:rsid w:val="008E40B4"/>
    <w:rsid w:val="008E54DD"/>
    <w:rsid w:val="008F2A39"/>
    <w:rsid w:val="009046F8"/>
    <w:rsid w:val="009059C2"/>
    <w:rsid w:val="00952246"/>
    <w:rsid w:val="0096763D"/>
    <w:rsid w:val="00970575"/>
    <w:rsid w:val="00983AC1"/>
    <w:rsid w:val="009879A6"/>
    <w:rsid w:val="009936A1"/>
    <w:rsid w:val="009A1ECC"/>
    <w:rsid w:val="009A3803"/>
    <w:rsid w:val="009B1F75"/>
    <w:rsid w:val="009D6F6C"/>
    <w:rsid w:val="009E1FF5"/>
    <w:rsid w:val="009E4A75"/>
    <w:rsid w:val="009F53DE"/>
    <w:rsid w:val="009F580C"/>
    <w:rsid w:val="00A00FBD"/>
    <w:rsid w:val="00A01422"/>
    <w:rsid w:val="00A03792"/>
    <w:rsid w:val="00A061E9"/>
    <w:rsid w:val="00A3646E"/>
    <w:rsid w:val="00A36CBF"/>
    <w:rsid w:val="00A3717E"/>
    <w:rsid w:val="00A40BE7"/>
    <w:rsid w:val="00A43086"/>
    <w:rsid w:val="00A621BD"/>
    <w:rsid w:val="00A77CA2"/>
    <w:rsid w:val="00A84ADD"/>
    <w:rsid w:val="00AA35A0"/>
    <w:rsid w:val="00AA432E"/>
    <w:rsid w:val="00AB100E"/>
    <w:rsid w:val="00AB66D8"/>
    <w:rsid w:val="00AC2022"/>
    <w:rsid w:val="00AC5E66"/>
    <w:rsid w:val="00AD2AF4"/>
    <w:rsid w:val="00AE1178"/>
    <w:rsid w:val="00AE40CD"/>
    <w:rsid w:val="00AF05B7"/>
    <w:rsid w:val="00AF37EC"/>
    <w:rsid w:val="00AF71EF"/>
    <w:rsid w:val="00B07884"/>
    <w:rsid w:val="00B225EC"/>
    <w:rsid w:val="00B26F72"/>
    <w:rsid w:val="00B374EE"/>
    <w:rsid w:val="00B42BE5"/>
    <w:rsid w:val="00B431D7"/>
    <w:rsid w:val="00B44AA0"/>
    <w:rsid w:val="00B45DB5"/>
    <w:rsid w:val="00B46665"/>
    <w:rsid w:val="00B6017C"/>
    <w:rsid w:val="00B65416"/>
    <w:rsid w:val="00B701AF"/>
    <w:rsid w:val="00B73C44"/>
    <w:rsid w:val="00B7608A"/>
    <w:rsid w:val="00B92DDF"/>
    <w:rsid w:val="00BB4020"/>
    <w:rsid w:val="00BC2421"/>
    <w:rsid w:val="00BF39A9"/>
    <w:rsid w:val="00C020BB"/>
    <w:rsid w:val="00C039E9"/>
    <w:rsid w:val="00C047FB"/>
    <w:rsid w:val="00C10D6E"/>
    <w:rsid w:val="00C13180"/>
    <w:rsid w:val="00C15DDC"/>
    <w:rsid w:val="00C20C7C"/>
    <w:rsid w:val="00C264C1"/>
    <w:rsid w:val="00C26C50"/>
    <w:rsid w:val="00C42E07"/>
    <w:rsid w:val="00C66590"/>
    <w:rsid w:val="00C674B8"/>
    <w:rsid w:val="00C721F8"/>
    <w:rsid w:val="00C74D4B"/>
    <w:rsid w:val="00C75EBE"/>
    <w:rsid w:val="00C779D9"/>
    <w:rsid w:val="00CA2A11"/>
    <w:rsid w:val="00CA7665"/>
    <w:rsid w:val="00CB2B95"/>
    <w:rsid w:val="00CB4CD6"/>
    <w:rsid w:val="00CB7916"/>
    <w:rsid w:val="00CC05C6"/>
    <w:rsid w:val="00CC6DC4"/>
    <w:rsid w:val="00CD2E2C"/>
    <w:rsid w:val="00CD4694"/>
    <w:rsid w:val="00CE1D2F"/>
    <w:rsid w:val="00D01058"/>
    <w:rsid w:val="00D10AC8"/>
    <w:rsid w:val="00D33E38"/>
    <w:rsid w:val="00D343BB"/>
    <w:rsid w:val="00D72D0B"/>
    <w:rsid w:val="00D7306F"/>
    <w:rsid w:val="00D775E8"/>
    <w:rsid w:val="00D878EA"/>
    <w:rsid w:val="00D912BF"/>
    <w:rsid w:val="00DB00FF"/>
    <w:rsid w:val="00DB235D"/>
    <w:rsid w:val="00DB7AEA"/>
    <w:rsid w:val="00DC7D0D"/>
    <w:rsid w:val="00DE3722"/>
    <w:rsid w:val="00DF56A6"/>
    <w:rsid w:val="00E032F5"/>
    <w:rsid w:val="00E10441"/>
    <w:rsid w:val="00E25B5E"/>
    <w:rsid w:val="00E34A08"/>
    <w:rsid w:val="00E36D04"/>
    <w:rsid w:val="00E46DBF"/>
    <w:rsid w:val="00E54D8F"/>
    <w:rsid w:val="00E63661"/>
    <w:rsid w:val="00E64974"/>
    <w:rsid w:val="00E64B3F"/>
    <w:rsid w:val="00E67B23"/>
    <w:rsid w:val="00E700F0"/>
    <w:rsid w:val="00E76779"/>
    <w:rsid w:val="00EB5F95"/>
    <w:rsid w:val="00EC363F"/>
    <w:rsid w:val="00EC6E4C"/>
    <w:rsid w:val="00EF0090"/>
    <w:rsid w:val="00EF42B2"/>
    <w:rsid w:val="00EF7705"/>
    <w:rsid w:val="00F04A61"/>
    <w:rsid w:val="00F11E5F"/>
    <w:rsid w:val="00F204A3"/>
    <w:rsid w:val="00F2230F"/>
    <w:rsid w:val="00F37CED"/>
    <w:rsid w:val="00F412DA"/>
    <w:rsid w:val="00F43823"/>
    <w:rsid w:val="00F43E58"/>
    <w:rsid w:val="00F551E8"/>
    <w:rsid w:val="00F575F3"/>
    <w:rsid w:val="00F6580D"/>
    <w:rsid w:val="00F65F18"/>
    <w:rsid w:val="00F72078"/>
    <w:rsid w:val="00F93FC6"/>
    <w:rsid w:val="00FC1954"/>
    <w:rsid w:val="00FD4592"/>
    <w:rsid w:val="00FD4E0D"/>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AE40CD"/>
    <w:rPr>
      <w:i/>
      <w:iCs/>
      <w:color w:val="4472C4" w:themeColor="accent1"/>
    </w:rPr>
  </w:style>
  <w:style w:type="character" w:styleId="Kommentarzeichen">
    <w:name w:val="annotation reference"/>
    <w:basedOn w:val="Absatz-Standardschriftart"/>
    <w:uiPriority w:val="99"/>
    <w:semiHidden/>
    <w:unhideWhenUsed/>
    <w:rsid w:val="0096763D"/>
    <w:rPr>
      <w:sz w:val="16"/>
      <w:szCs w:val="16"/>
    </w:rPr>
  </w:style>
  <w:style w:type="paragraph" w:styleId="Kommentartext">
    <w:name w:val="annotation text"/>
    <w:basedOn w:val="Standard"/>
    <w:link w:val="KommentartextZchn"/>
    <w:uiPriority w:val="99"/>
    <w:semiHidden/>
    <w:unhideWhenUsed/>
    <w:rsid w:val="0096763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763D"/>
    <w:rPr>
      <w:sz w:val="20"/>
      <w:szCs w:val="20"/>
    </w:rPr>
  </w:style>
  <w:style w:type="paragraph" w:styleId="Kommentarthema">
    <w:name w:val="annotation subject"/>
    <w:basedOn w:val="Kommentartext"/>
    <w:next w:val="Kommentartext"/>
    <w:link w:val="KommentarthemaZchn"/>
    <w:uiPriority w:val="99"/>
    <w:semiHidden/>
    <w:unhideWhenUsed/>
    <w:rsid w:val="0096763D"/>
    <w:rPr>
      <w:b/>
      <w:bCs/>
    </w:rPr>
  </w:style>
  <w:style w:type="character" w:customStyle="1" w:styleId="KommentarthemaZchn">
    <w:name w:val="Kommentarthema Zchn"/>
    <w:basedOn w:val="KommentartextZchn"/>
    <w:link w:val="Kommentarthema"/>
    <w:uiPriority w:val="99"/>
    <w:semiHidden/>
    <w:rsid w:val="009676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1287</Words>
  <Characters>8110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11</cp:revision>
  <cp:lastPrinted>2020-09-11T11:54:00Z</cp:lastPrinted>
  <dcterms:created xsi:type="dcterms:W3CDTF">2020-08-24T11:31:00Z</dcterms:created>
  <dcterms:modified xsi:type="dcterms:W3CDTF">2020-09-11T11:54:00Z</dcterms:modified>
</cp:coreProperties>
</file>