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3" w:rsidRDefault="002E23E3">
      <w:pPr>
        <w:rPr>
          <w:rFonts w:ascii="Arial" w:hAnsi="Arial" w:cs="Arial"/>
          <w:sz w:val="20"/>
          <w:szCs w:val="20"/>
        </w:rPr>
      </w:pPr>
    </w:p>
    <w:p w:rsidR="00C45225" w:rsidRPr="00473201" w:rsidRDefault="00377A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6" style="position:absolute;z-index:251658752;mso-position-horizontal-relative:page;mso-position-vertical-relative:page" from="17pt,419.6pt" to="19.85pt,419.6pt" o:allowincell="f" strokecolor="silver">
            <w10:wrap anchorx="page" anchory="page"/>
            <w10:anchorlock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45" style="position:absolute;z-index:251657728;mso-position-horizontal-relative:page;mso-position-vertical-relative:page" from="17pt,595.35pt" to="19.85pt,595.35pt" o:allowincell="f" strokecolor="silver">
            <w10:wrap anchorx="page" anchory="page"/>
            <w10:anchorlock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44" style="position:absolute;z-index:251656704;mso-position-horizontal-relative:page;mso-position-vertical-relative:page" from="17pt,284.9pt" to="19.85pt,284.9pt" o:allowincell="f" strokecolor="silver">
            <w10:wrap anchorx="page" anchory="page"/>
            <w10:anchorlock/>
          </v:line>
        </w:pict>
      </w:r>
    </w:p>
    <w:p w:rsidR="00290822" w:rsidRDefault="00290822">
      <w:pPr>
        <w:rPr>
          <w:rFonts w:ascii="Arial" w:hAnsi="Arial" w:cs="Arial"/>
          <w:sz w:val="20"/>
          <w:szCs w:val="20"/>
        </w:rPr>
      </w:pPr>
    </w:p>
    <w:p w:rsidR="003C79A3" w:rsidRDefault="00A272B5" w:rsidP="00A272B5">
      <w:pPr>
        <w:pStyle w:val="berschrift1"/>
        <w:jc w:val="center"/>
      </w:pPr>
      <w:r>
        <w:t xml:space="preserve">Notenverteilung der Absolventinnen und Absolventen im Studiengang </w:t>
      </w:r>
    </w:p>
    <w:p w:rsidR="003C79A3" w:rsidRPr="003C79A3" w:rsidRDefault="003C79A3" w:rsidP="003C79A3">
      <w:pPr>
        <w:jc w:val="center"/>
        <w:rPr>
          <w:rFonts w:ascii="Cambria" w:hAnsi="Cambria"/>
          <w:b/>
          <w:sz w:val="28"/>
          <w:szCs w:val="28"/>
          <w:lang w:val="en-US"/>
        </w:rPr>
      </w:pPr>
      <w:r w:rsidRPr="003C79A3">
        <w:rPr>
          <w:rFonts w:ascii="Cambria" w:hAnsi="Cambria"/>
          <w:b/>
          <w:i/>
          <w:sz w:val="28"/>
          <w:szCs w:val="28"/>
          <w:lang w:val="en-US"/>
        </w:rPr>
        <w:t>The</w:t>
      </w:r>
      <w:r w:rsidRPr="003C79A3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3C79A3">
        <w:rPr>
          <w:rFonts w:ascii="Cambria" w:hAnsi="Cambria"/>
          <w:b/>
          <w:i/>
          <w:sz w:val="28"/>
          <w:szCs w:val="28"/>
          <w:lang w:val="en-US"/>
        </w:rPr>
        <w:t>Graduates and their Distribution of Marks in the Course of Study</w:t>
      </w:r>
    </w:p>
    <w:p w:rsidR="00A272B5" w:rsidRPr="00E70D41" w:rsidRDefault="001F4D21" w:rsidP="00D415F9">
      <w:pPr>
        <w:pStyle w:val="berschrift1"/>
        <w:spacing w:before="240"/>
        <w:jc w:val="center"/>
      </w:pPr>
      <w:r>
        <w:t>Diplom Wirtschaftspädagogik I</w:t>
      </w:r>
    </w:p>
    <w:p w:rsidR="00A272B5" w:rsidRPr="00E70D41" w:rsidRDefault="00A272B5" w:rsidP="00A272B5"/>
    <w:p w:rsidR="00A272B5" w:rsidRPr="000E2D73" w:rsidRDefault="00E70D41" w:rsidP="005601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Absolventen</w:t>
      </w:r>
      <w:r w:rsidR="00425A96" w:rsidRPr="00F25FF9">
        <w:rPr>
          <w:rFonts w:ascii="Arial" w:hAnsi="Arial" w:cs="Arial"/>
          <w:sz w:val="20"/>
          <w:szCs w:val="20"/>
        </w:rPr>
        <w:t xml:space="preserve"> des Studiengangs</w:t>
      </w:r>
      <w:r w:rsidR="00012A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„Diplom </w:t>
      </w:r>
      <w:r w:rsidR="001F4D21">
        <w:rPr>
          <w:rFonts w:ascii="Arial" w:hAnsi="Arial" w:cs="Arial"/>
          <w:sz w:val="20"/>
          <w:szCs w:val="20"/>
        </w:rPr>
        <w:t>Wirtschaftspädagogik I</w:t>
      </w:r>
      <w:r>
        <w:rPr>
          <w:rFonts w:ascii="Arial" w:hAnsi="Arial" w:cs="Arial"/>
          <w:sz w:val="20"/>
          <w:szCs w:val="20"/>
        </w:rPr>
        <w:t xml:space="preserve">“ </w:t>
      </w:r>
      <w:r w:rsidR="00560153" w:rsidRPr="00F25FF9">
        <w:rPr>
          <w:rFonts w:ascii="Arial" w:hAnsi="Arial" w:cs="Arial"/>
          <w:sz w:val="20"/>
          <w:szCs w:val="20"/>
        </w:rPr>
        <w:t xml:space="preserve">vom </w:t>
      </w:r>
      <w:r>
        <w:rPr>
          <w:rFonts w:ascii="Arial" w:hAnsi="Arial" w:cs="Arial"/>
          <w:sz w:val="20"/>
          <w:szCs w:val="20"/>
        </w:rPr>
        <w:t>Sommersemester 2008</w:t>
      </w:r>
      <w:r w:rsidR="003C79A3" w:rsidRPr="00F25FF9">
        <w:rPr>
          <w:rFonts w:ascii="Arial" w:hAnsi="Arial" w:cs="Arial"/>
          <w:sz w:val="20"/>
          <w:szCs w:val="20"/>
        </w:rPr>
        <w:t xml:space="preserve"> bis </w:t>
      </w:r>
      <w:r w:rsidR="007E21ED">
        <w:rPr>
          <w:rFonts w:ascii="Arial" w:hAnsi="Arial" w:cs="Arial"/>
          <w:sz w:val="20"/>
          <w:szCs w:val="20"/>
        </w:rPr>
        <w:t>Sommersemester</w:t>
      </w:r>
      <w:r w:rsidR="003C79A3" w:rsidRPr="00F25FF9">
        <w:rPr>
          <w:rFonts w:ascii="Arial" w:hAnsi="Arial" w:cs="Arial"/>
          <w:sz w:val="20"/>
          <w:szCs w:val="20"/>
        </w:rPr>
        <w:t xml:space="preserve"> </w:t>
      </w:r>
      <w:r w:rsidR="00425A96" w:rsidRPr="00F25FF9">
        <w:rPr>
          <w:rFonts w:ascii="Arial" w:hAnsi="Arial" w:cs="Arial"/>
          <w:sz w:val="20"/>
          <w:szCs w:val="20"/>
        </w:rPr>
        <w:t>2010</w:t>
      </w:r>
      <w:r w:rsidR="00560153" w:rsidRPr="00F25FF9">
        <w:rPr>
          <w:rFonts w:ascii="Arial" w:hAnsi="Arial" w:cs="Arial"/>
          <w:sz w:val="20"/>
          <w:szCs w:val="20"/>
        </w:rPr>
        <w:t xml:space="preserve">. </w:t>
      </w:r>
      <w:r w:rsidR="001F4D21">
        <w:rPr>
          <w:rFonts w:ascii="Arial" w:hAnsi="Arial" w:cs="Arial"/>
          <w:sz w:val="20"/>
          <w:szCs w:val="20"/>
        </w:rPr>
        <w:t>Während dieser Zeit haben 1</w:t>
      </w:r>
      <w:r w:rsidR="007E21ED">
        <w:rPr>
          <w:rFonts w:ascii="Arial" w:hAnsi="Arial" w:cs="Arial"/>
          <w:sz w:val="20"/>
          <w:szCs w:val="20"/>
        </w:rPr>
        <w:t>33</w:t>
      </w:r>
      <w:r w:rsidR="00560153" w:rsidRPr="000E2D73">
        <w:rPr>
          <w:rFonts w:ascii="Arial" w:hAnsi="Arial" w:cs="Arial"/>
          <w:sz w:val="20"/>
          <w:szCs w:val="20"/>
        </w:rPr>
        <w:t xml:space="preserve"> Studierende den Studiengang abgeschlossen. Der Notenschnitt</w:t>
      </w:r>
      <w:r w:rsidR="001F4D21">
        <w:rPr>
          <w:rFonts w:ascii="Arial" w:hAnsi="Arial" w:cs="Arial"/>
          <w:sz w:val="20"/>
          <w:szCs w:val="20"/>
        </w:rPr>
        <w:t xml:space="preserve"> dieser Absolventen beträgt 2,42</w:t>
      </w:r>
      <w:r w:rsidR="00533DD5">
        <w:rPr>
          <w:rFonts w:ascii="Arial" w:hAnsi="Arial" w:cs="Arial"/>
          <w:sz w:val="20"/>
          <w:szCs w:val="20"/>
        </w:rPr>
        <w:t xml:space="preserve"> </w:t>
      </w:r>
      <w:r w:rsidR="001F4D21">
        <w:rPr>
          <w:rFonts w:ascii="Arial" w:hAnsi="Arial" w:cs="Arial"/>
          <w:sz w:val="20"/>
          <w:szCs w:val="20"/>
        </w:rPr>
        <w:t>bei einem Durchschnitt von 9,</w:t>
      </w:r>
      <w:r w:rsidR="007E21ED">
        <w:rPr>
          <w:rFonts w:ascii="Arial" w:hAnsi="Arial" w:cs="Arial"/>
          <w:sz w:val="20"/>
          <w:szCs w:val="20"/>
        </w:rPr>
        <w:t>98</w:t>
      </w:r>
      <w:r w:rsidR="00560153" w:rsidRPr="000E2D73">
        <w:rPr>
          <w:rFonts w:ascii="Arial" w:hAnsi="Arial" w:cs="Arial"/>
          <w:sz w:val="20"/>
          <w:szCs w:val="20"/>
        </w:rPr>
        <w:t xml:space="preserve"> Fach</w:t>
      </w:r>
      <w:r w:rsidR="00D415F9" w:rsidRPr="000E2D73">
        <w:rPr>
          <w:rFonts w:ascii="Arial" w:hAnsi="Arial" w:cs="Arial"/>
          <w:sz w:val="20"/>
          <w:szCs w:val="20"/>
        </w:rPr>
        <w:softHyphen/>
      </w:r>
      <w:r w:rsidR="00560153" w:rsidRPr="000E2D73">
        <w:rPr>
          <w:rFonts w:ascii="Arial" w:hAnsi="Arial" w:cs="Arial"/>
          <w:sz w:val="20"/>
          <w:szCs w:val="20"/>
        </w:rPr>
        <w:t>semestern</w:t>
      </w:r>
      <w:r w:rsidR="003C79A3" w:rsidRPr="000E2D73">
        <w:rPr>
          <w:rFonts w:ascii="Arial" w:hAnsi="Arial" w:cs="Arial"/>
          <w:sz w:val="20"/>
          <w:szCs w:val="20"/>
        </w:rPr>
        <w:t>.</w:t>
      </w:r>
    </w:p>
    <w:p w:rsidR="003C79A3" w:rsidRPr="000E2D73" w:rsidRDefault="003C79A3" w:rsidP="00560153">
      <w:pPr>
        <w:rPr>
          <w:rFonts w:ascii="Arial" w:hAnsi="Arial" w:cs="Arial"/>
          <w:sz w:val="20"/>
          <w:szCs w:val="20"/>
        </w:rPr>
      </w:pPr>
    </w:p>
    <w:p w:rsidR="003C79A3" w:rsidRPr="000E2D73" w:rsidRDefault="003C79A3" w:rsidP="00560153">
      <w:pPr>
        <w:rPr>
          <w:rFonts w:ascii="Arial" w:hAnsi="Arial" w:cs="Arial"/>
          <w:i/>
          <w:sz w:val="20"/>
          <w:szCs w:val="20"/>
          <w:lang w:val="en-US"/>
        </w:rPr>
      </w:pP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Graduates </w:t>
      </w:r>
      <w:r w:rsidR="002E23E3">
        <w:rPr>
          <w:rFonts w:ascii="Arial" w:hAnsi="Arial" w:cs="Arial"/>
          <w:i/>
          <w:sz w:val="20"/>
          <w:szCs w:val="20"/>
          <w:lang w:val="en-US"/>
        </w:rPr>
        <w:t xml:space="preserve">of Diplom -  </w:t>
      </w:r>
      <w:r w:rsidR="00687BBB">
        <w:rPr>
          <w:rFonts w:ascii="Arial" w:hAnsi="Arial" w:cs="Arial"/>
          <w:i/>
          <w:sz w:val="20"/>
          <w:szCs w:val="20"/>
          <w:lang w:val="en-US"/>
        </w:rPr>
        <w:t>Economic Education I</w:t>
      </w:r>
      <w:r w:rsidR="008825E4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C5EEA">
        <w:rPr>
          <w:rFonts w:ascii="Arial" w:hAnsi="Arial" w:cs="Arial"/>
          <w:i/>
          <w:sz w:val="20"/>
          <w:szCs w:val="20"/>
          <w:lang w:val="en-US"/>
        </w:rPr>
        <w:t xml:space="preserve"> - 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since </w:t>
      </w:r>
      <w:r w:rsidR="006C5EEA">
        <w:rPr>
          <w:rFonts w:ascii="Arial" w:hAnsi="Arial" w:cs="Arial"/>
          <w:i/>
          <w:sz w:val="20"/>
          <w:szCs w:val="20"/>
          <w:lang w:val="en-US"/>
        </w:rPr>
        <w:t xml:space="preserve">summer term 2008 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till </w:t>
      </w:r>
      <w:r w:rsidR="007E21ED">
        <w:rPr>
          <w:rFonts w:ascii="Arial" w:hAnsi="Arial" w:cs="Arial"/>
          <w:i/>
          <w:sz w:val="20"/>
          <w:szCs w:val="20"/>
          <w:lang w:val="en-US"/>
        </w:rPr>
        <w:t xml:space="preserve">summer 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term </w:t>
      </w:r>
      <w:r w:rsidR="00425A96">
        <w:rPr>
          <w:rFonts w:ascii="Arial" w:hAnsi="Arial" w:cs="Arial"/>
          <w:i/>
          <w:sz w:val="20"/>
          <w:szCs w:val="20"/>
          <w:lang w:val="en-US"/>
        </w:rPr>
        <w:t>2010</w:t>
      </w:r>
      <w:r w:rsidR="007E21ED">
        <w:rPr>
          <w:rFonts w:ascii="Arial" w:hAnsi="Arial" w:cs="Arial"/>
          <w:i/>
          <w:sz w:val="20"/>
          <w:szCs w:val="20"/>
          <w:lang w:val="en-US"/>
        </w:rPr>
        <w:t>. During this time 133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 students successfully passed this course of study. These graduates gained th</w:t>
      </w:r>
      <w:r w:rsidR="00687BBB">
        <w:rPr>
          <w:rFonts w:ascii="Arial" w:hAnsi="Arial" w:cs="Arial"/>
          <w:i/>
          <w:sz w:val="20"/>
          <w:szCs w:val="20"/>
          <w:lang w:val="en-US"/>
        </w:rPr>
        <w:t>e average mark satisfactory 2,42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. Their period of study </w:t>
      </w:r>
      <w:r w:rsidR="00687BBB">
        <w:rPr>
          <w:rFonts w:ascii="Arial" w:hAnsi="Arial" w:cs="Arial"/>
          <w:i/>
          <w:sz w:val="20"/>
          <w:szCs w:val="20"/>
          <w:lang w:val="en-US"/>
        </w:rPr>
        <w:t>was 9,</w:t>
      </w:r>
      <w:r w:rsidR="007E21ED">
        <w:rPr>
          <w:rFonts w:ascii="Arial" w:hAnsi="Arial" w:cs="Arial"/>
          <w:i/>
          <w:sz w:val="20"/>
          <w:szCs w:val="20"/>
          <w:lang w:val="en-US"/>
        </w:rPr>
        <w:t>98</w:t>
      </w:r>
      <w:r w:rsidRPr="000E2D73">
        <w:rPr>
          <w:rFonts w:ascii="Arial" w:hAnsi="Arial" w:cs="Arial"/>
          <w:i/>
          <w:sz w:val="20"/>
          <w:szCs w:val="20"/>
          <w:lang w:val="en-US"/>
        </w:rPr>
        <w:t xml:space="preserve"> semester on average.</w:t>
      </w:r>
    </w:p>
    <w:p w:rsidR="00560153" w:rsidRDefault="00560153" w:rsidP="00A272B5">
      <w:pPr>
        <w:jc w:val="center"/>
        <w:rPr>
          <w:lang w:val="en-US"/>
        </w:rPr>
      </w:pPr>
    </w:p>
    <w:p w:rsidR="000E2D73" w:rsidRPr="003C79A3" w:rsidRDefault="000E2D73" w:rsidP="00A272B5">
      <w:pPr>
        <w:jc w:val="center"/>
        <w:rPr>
          <w:lang w:val="en-US"/>
        </w:rPr>
      </w:pPr>
    </w:p>
    <w:p w:rsidR="00A272B5" w:rsidRPr="00A056EC" w:rsidRDefault="00560153" w:rsidP="003F14B4">
      <w:pPr>
        <w:tabs>
          <w:tab w:val="center" w:pos="4819"/>
          <w:tab w:val="left" w:pos="6030"/>
        </w:tabs>
        <w:jc w:val="center"/>
        <w:rPr>
          <w:b/>
          <w:sz w:val="22"/>
          <w:szCs w:val="22"/>
          <w:lang w:val="en-US"/>
        </w:rPr>
      </w:pPr>
      <w:r w:rsidRPr="00A056EC">
        <w:rPr>
          <w:b/>
          <w:sz w:val="22"/>
          <w:szCs w:val="22"/>
          <w:lang w:val="en-US"/>
        </w:rPr>
        <w:t>Einordnung der Gesamtnoten der Absolventen in das ECTS-Grading-System</w:t>
      </w:r>
    </w:p>
    <w:p w:rsidR="003C79A3" w:rsidRPr="00B92965" w:rsidRDefault="003C79A3" w:rsidP="003F14B4">
      <w:pPr>
        <w:tabs>
          <w:tab w:val="center" w:pos="4819"/>
          <w:tab w:val="left" w:pos="6030"/>
        </w:tabs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B92965">
        <w:rPr>
          <w:rFonts w:ascii="Arial" w:hAnsi="Arial" w:cs="Arial"/>
          <w:b/>
          <w:i/>
          <w:sz w:val="22"/>
          <w:szCs w:val="22"/>
          <w:lang w:val="en-US"/>
        </w:rPr>
        <w:t>Classification of the Average Marks into the ECTS-Grading-System</w:t>
      </w:r>
    </w:p>
    <w:p w:rsidR="00560153" w:rsidRPr="000E2D73" w:rsidRDefault="0056015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8"/>
        <w:gridCol w:w="1509"/>
        <w:gridCol w:w="1483"/>
        <w:gridCol w:w="2015"/>
      </w:tblGrid>
      <w:tr w:rsidR="003F14B4" w:rsidRPr="000E2D73" w:rsidTr="00AE2C62">
        <w:tc>
          <w:tcPr>
            <w:tcW w:w="1338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ECTS-Grade (relativ)</w:t>
            </w:r>
          </w:p>
          <w:p w:rsidR="003C79A3" w:rsidRPr="000E2D73" w:rsidRDefault="003C79A3" w:rsidP="003F14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</w:rPr>
              <w:t>(relative)</w:t>
            </w:r>
          </w:p>
        </w:tc>
        <w:tc>
          <w:tcPr>
            <w:tcW w:w="1509" w:type="dxa"/>
          </w:tcPr>
          <w:p w:rsidR="00AE2C62" w:rsidRPr="000E2D73" w:rsidRDefault="00AE2C62" w:rsidP="00AE2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14B4" w:rsidRPr="000E2D73" w:rsidRDefault="003C79A3" w:rsidP="00AE2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Prozente</w:t>
            </w:r>
          </w:p>
          <w:p w:rsidR="003C79A3" w:rsidRPr="000E2D73" w:rsidRDefault="00AE2C62" w:rsidP="00AE2C6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</w:rPr>
              <w:t>Percentage</w:t>
            </w:r>
          </w:p>
          <w:p w:rsidR="003C79A3" w:rsidRPr="000E2D73" w:rsidRDefault="003C79A3" w:rsidP="003F14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Anzahl der Absolventen</w:t>
            </w:r>
          </w:p>
          <w:p w:rsidR="00AE2C62" w:rsidRPr="000E2D73" w:rsidRDefault="00AE2C62" w:rsidP="003F14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</w:rPr>
              <w:t>Number of Graduates</w:t>
            </w:r>
          </w:p>
        </w:tc>
        <w:tc>
          <w:tcPr>
            <w:tcW w:w="2015" w:type="dxa"/>
          </w:tcPr>
          <w:p w:rsidR="00AE2C62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 xml:space="preserve">Noten </w:t>
            </w:r>
          </w:p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  <w:lang w:val="en-US"/>
              </w:rPr>
              <w:t>von… bis …</w:t>
            </w:r>
          </w:p>
          <w:p w:rsidR="00AE2C62" w:rsidRPr="000E2D73" w:rsidRDefault="00AE2C62" w:rsidP="003F14B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Marks</w:t>
            </w:r>
          </w:p>
          <w:p w:rsidR="00AE2C62" w:rsidRPr="000E2D73" w:rsidRDefault="00AE2C62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from … to …</w:t>
            </w:r>
          </w:p>
        </w:tc>
      </w:tr>
      <w:tr w:rsidR="003F14B4" w:rsidRPr="000E2D73" w:rsidTr="006C0546">
        <w:tc>
          <w:tcPr>
            <w:tcW w:w="1338" w:type="dxa"/>
            <w:shd w:val="clear" w:color="auto" w:fill="F2F2F2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09" w:type="dxa"/>
            <w:shd w:val="clear" w:color="auto" w:fill="F2F2F2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0  - 10</w:t>
            </w:r>
          </w:p>
        </w:tc>
        <w:tc>
          <w:tcPr>
            <w:tcW w:w="1483" w:type="dxa"/>
            <w:shd w:val="clear" w:color="auto" w:fill="F2F2F2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F2F2F2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 – 1,7</w:t>
            </w:r>
            <w:r w:rsidR="00FD7F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F14B4" w:rsidRPr="000E2D73" w:rsidTr="00AE2C62">
        <w:tc>
          <w:tcPr>
            <w:tcW w:w="1338" w:type="dxa"/>
            <w:vMerge w:val="restart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br/>
              <w:t>B</w:t>
            </w:r>
          </w:p>
        </w:tc>
        <w:tc>
          <w:tcPr>
            <w:tcW w:w="1509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11 - 20</w:t>
            </w:r>
          </w:p>
        </w:tc>
        <w:tc>
          <w:tcPr>
            <w:tcW w:w="1483" w:type="dxa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3F14B4" w:rsidRPr="000E2D73" w:rsidRDefault="00FD7F86" w:rsidP="00FD7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1,76</w:t>
            </w:r>
            <w:r w:rsidR="00687BBB">
              <w:rPr>
                <w:rFonts w:ascii="Arial" w:hAnsi="Arial" w:cs="Arial"/>
                <w:sz w:val="20"/>
                <w:szCs w:val="20"/>
              </w:rPr>
              <w:t xml:space="preserve"> – 2,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F14B4" w:rsidRPr="000E2D73" w:rsidTr="00AE2C62">
        <w:tc>
          <w:tcPr>
            <w:tcW w:w="1338" w:type="dxa"/>
            <w:vMerge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21 - 30</w:t>
            </w:r>
          </w:p>
        </w:tc>
        <w:tc>
          <w:tcPr>
            <w:tcW w:w="1483" w:type="dxa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0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5" w:type="dxa"/>
          </w:tcPr>
          <w:p w:rsidR="003F14B4" w:rsidRPr="000E2D73" w:rsidRDefault="00FD7F86" w:rsidP="00FD7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  <w:r w:rsidR="00687BBB">
              <w:rPr>
                <w:rFonts w:ascii="Arial" w:hAnsi="Arial" w:cs="Arial"/>
                <w:sz w:val="20"/>
                <w:szCs w:val="20"/>
              </w:rPr>
              <w:t xml:space="preserve"> – 2,2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14B4" w:rsidRPr="000E2D73" w:rsidTr="00B92965">
        <w:tc>
          <w:tcPr>
            <w:tcW w:w="1338" w:type="dxa"/>
            <w:vMerge/>
            <w:tcBorders>
              <w:bottom w:val="single" w:sz="4" w:space="0" w:color="000000"/>
            </w:tcBorders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:rsidR="003F14B4" w:rsidRPr="000E2D73" w:rsidRDefault="000951C5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3</w:t>
            </w:r>
            <w:r w:rsidR="003F14B4" w:rsidRPr="000E2D73">
              <w:rPr>
                <w:rFonts w:ascii="Arial" w:hAnsi="Arial" w:cs="Arial"/>
                <w:sz w:val="20"/>
                <w:szCs w:val="20"/>
              </w:rPr>
              <w:t>1 - 35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:rsidR="003F14B4" w:rsidRPr="000E2D73" w:rsidRDefault="002930E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:rsidR="003F14B4" w:rsidRPr="000E2D73" w:rsidRDefault="00FD7F86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2,23</w:t>
            </w:r>
            <w:r w:rsidR="00687BBB">
              <w:rPr>
                <w:rFonts w:ascii="Arial" w:hAnsi="Arial" w:cs="Arial"/>
                <w:sz w:val="20"/>
                <w:szCs w:val="20"/>
              </w:rPr>
              <w:t xml:space="preserve"> – 2,29</w:t>
            </w:r>
          </w:p>
        </w:tc>
      </w:tr>
      <w:tr w:rsidR="003F14B4" w:rsidRPr="000E2D73" w:rsidTr="00B92965">
        <w:tc>
          <w:tcPr>
            <w:tcW w:w="1338" w:type="dxa"/>
            <w:vMerge w:val="restart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3F14B4" w:rsidRPr="000E2D73" w:rsidRDefault="003F14B4" w:rsidP="00B929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509" w:type="dxa"/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36 - 40</w:t>
            </w:r>
          </w:p>
        </w:tc>
        <w:tc>
          <w:tcPr>
            <w:tcW w:w="1483" w:type="dxa"/>
            <w:shd w:val="clear" w:color="auto" w:fill="EEECE1"/>
          </w:tcPr>
          <w:p w:rsidR="003F14B4" w:rsidRPr="000E2D73" w:rsidRDefault="002930E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5" w:type="dxa"/>
            <w:shd w:val="clear" w:color="auto" w:fill="EEECE1"/>
          </w:tcPr>
          <w:p w:rsidR="003F14B4" w:rsidRPr="000E2D73" w:rsidRDefault="00FD7F86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  <w:r w:rsidR="00687BBB">
              <w:rPr>
                <w:rFonts w:ascii="Arial" w:hAnsi="Arial" w:cs="Arial"/>
                <w:sz w:val="20"/>
                <w:szCs w:val="20"/>
              </w:rPr>
              <w:t xml:space="preserve"> – 2,36</w:t>
            </w:r>
          </w:p>
        </w:tc>
      </w:tr>
      <w:tr w:rsidR="003F14B4" w:rsidRPr="000E2D73" w:rsidTr="00B92965"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41 - 50</w:t>
            </w:r>
          </w:p>
        </w:tc>
        <w:tc>
          <w:tcPr>
            <w:tcW w:w="1483" w:type="dxa"/>
            <w:shd w:val="clear" w:color="auto" w:fill="EEECE1"/>
          </w:tcPr>
          <w:p w:rsidR="003F14B4" w:rsidRPr="000E2D73" w:rsidRDefault="002930E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15" w:type="dxa"/>
            <w:shd w:val="clear" w:color="auto" w:fill="EEECE1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2,37 – 2,49</w:t>
            </w:r>
          </w:p>
        </w:tc>
      </w:tr>
      <w:tr w:rsidR="003F14B4" w:rsidRPr="000E2D73" w:rsidTr="00B92965"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51 - 60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  <w:shd w:val="clear" w:color="auto" w:fill="EEECE1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  <w:shd w:val="clear" w:color="auto" w:fill="EEECE1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 – 2,61</w:t>
            </w:r>
          </w:p>
        </w:tc>
      </w:tr>
      <w:tr w:rsidR="003F14B4" w:rsidRPr="000E2D73" w:rsidTr="00B92965"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61 - 65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2930E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EEECE1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 – 2,67</w:t>
            </w:r>
          </w:p>
        </w:tc>
      </w:tr>
      <w:tr w:rsidR="003F14B4" w:rsidRPr="000E2D73" w:rsidTr="00B92965"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br/>
              <w:t>D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66 - 70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 – 2,73</w:t>
            </w:r>
          </w:p>
        </w:tc>
      </w:tr>
      <w:tr w:rsidR="003F14B4" w:rsidRPr="000E2D73" w:rsidTr="00AE2C62">
        <w:tc>
          <w:tcPr>
            <w:tcW w:w="1338" w:type="dxa"/>
            <w:vMerge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71 - 80</w:t>
            </w:r>
          </w:p>
        </w:tc>
        <w:tc>
          <w:tcPr>
            <w:tcW w:w="1483" w:type="dxa"/>
          </w:tcPr>
          <w:p w:rsidR="003F14B4" w:rsidRPr="000E2D73" w:rsidRDefault="002930E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15" w:type="dxa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2,74 – 2,82</w:t>
            </w:r>
          </w:p>
        </w:tc>
      </w:tr>
      <w:tr w:rsidR="003F14B4" w:rsidRPr="000E2D73" w:rsidTr="00AE2C62">
        <w:tc>
          <w:tcPr>
            <w:tcW w:w="1338" w:type="dxa"/>
            <w:vMerge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81 - 90</w:t>
            </w:r>
          </w:p>
        </w:tc>
        <w:tc>
          <w:tcPr>
            <w:tcW w:w="1483" w:type="dxa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0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3F14B4" w:rsidRPr="000E2D73" w:rsidRDefault="00687BBB" w:rsidP="00FD7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2,83 – 2,9</w:t>
            </w:r>
            <w:r w:rsidR="00FD7F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F14B4" w:rsidRPr="000E2D73" w:rsidTr="00B92965">
        <w:tc>
          <w:tcPr>
            <w:tcW w:w="1338" w:type="dxa"/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509" w:type="dxa"/>
            <w:shd w:val="clear" w:color="auto" w:fill="EEECE1"/>
          </w:tcPr>
          <w:p w:rsidR="003F14B4" w:rsidRPr="000E2D73" w:rsidRDefault="003F14B4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D73">
              <w:rPr>
                <w:rFonts w:ascii="Arial" w:hAnsi="Arial" w:cs="Arial"/>
                <w:sz w:val="20"/>
                <w:szCs w:val="20"/>
              </w:rPr>
              <w:t>90 - 100</w:t>
            </w:r>
          </w:p>
        </w:tc>
        <w:tc>
          <w:tcPr>
            <w:tcW w:w="1483" w:type="dxa"/>
            <w:shd w:val="clear" w:color="auto" w:fill="EEECE1"/>
          </w:tcPr>
          <w:p w:rsidR="003F14B4" w:rsidRPr="000E2D73" w:rsidRDefault="00687BBB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0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shd w:val="clear" w:color="auto" w:fill="EEECE1"/>
          </w:tcPr>
          <w:p w:rsidR="003F14B4" w:rsidRPr="000E2D73" w:rsidRDefault="00FD7F86" w:rsidP="003F14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2,91</w:t>
            </w:r>
            <w:r w:rsidR="00687BBB">
              <w:rPr>
                <w:rFonts w:ascii="Arial" w:hAnsi="Arial" w:cs="Arial"/>
                <w:sz w:val="20"/>
                <w:szCs w:val="20"/>
              </w:rPr>
              <w:t xml:space="preserve"> – 3,12</w:t>
            </w:r>
          </w:p>
        </w:tc>
      </w:tr>
      <w:tr w:rsidR="003F14B4" w:rsidRPr="000E2D73" w:rsidTr="006C0546">
        <w:tc>
          <w:tcPr>
            <w:tcW w:w="1338" w:type="dxa"/>
          </w:tcPr>
          <w:p w:rsidR="003F14B4" w:rsidRPr="000E2D73" w:rsidRDefault="003F14B4" w:rsidP="00A5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  <w:p w:rsidR="00AE2C62" w:rsidRPr="000E2D73" w:rsidRDefault="00AE2C62" w:rsidP="00A573C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509" w:type="dxa"/>
            <w:vAlign w:val="center"/>
          </w:tcPr>
          <w:p w:rsidR="003F14B4" w:rsidRPr="000E2D73" w:rsidRDefault="003F14B4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D7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83" w:type="dxa"/>
            <w:vAlign w:val="center"/>
          </w:tcPr>
          <w:p w:rsidR="003F14B4" w:rsidRPr="000E2D73" w:rsidRDefault="00F970D7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91A84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015" w:type="dxa"/>
            <w:vAlign w:val="center"/>
          </w:tcPr>
          <w:p w:rsidR="003F14B4" w:rsidRPr="000E2D73" w:rsidRDefault="00F970D7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1,22 – 3,12</w:t>
            </w:r>
          </w:p>
        </w:tc>
      </w:tr>
      <w:tr w:rsidR="00525470" w:rsidRPr="000E2D73" w:rsidTr="006C0546">
        <w:tc>
          <w:tcPr>
            <w:tcW w:w="1338" w:type="dxa"/>
          </w:tcPr>
          <w:p w:rsidR="00525470" w:rsidRPr="000E2D73" w:rsidRDefault="00525470" w:rsidP="00A573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525470" w:rsidRPr="000E2D73" w:rsidRDefault="00525470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525470" w:rsidRDefault="00525470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525470" w:rsidRDefault="00525470" w:rsidP="006C0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560153" w:rsidRPr="000E2D73" w:rsidRDefault="0056015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Pr="000E2D73" w:rsidRDefault="00640DD3">
      <w:pPr>
        <w:rPr>
          <w:rFonts w:ascii="Arial" w:hAnsi="Arial" w:cs="Arial"/>
          <w:sz w:val="20"/>
          <w:szCs w:val="20"/>
        </w:rPr>
      </w:pPr>
    </w:p>
    <w:p w:rsidR="00640DD3" w:rsidRDefault="00640DD3">
      <w:pPr>
        <w:rPr>
          <w:rFonts w:ascii="Arial" w:hAnsi="Arial" w:cs="Arial"/>
          <w:sz w:val="20"/>
          <w:szCs w:val="20"/>
        </w:rPr>
      </w:pPr>
    </w:p>
    <w:p w:rsidR="000E2D73" w:rsidRPr="000E2D73" w:rsidRDefault="000E2D73">
      <w:pPr>
        <w:rPr>
          <w:rFonts w:ascii="Arial" w:hAnsi="Arial" w:cs="Arial"/>
          <w:sz w:val="20"/>
          <w:szCs w:val="20"/>
        </w:rPr>
      </w:pPr>
    </w:p>
    <w:p w:rsidR="00640DD3" w:rsidRPr="000E2D73" w:rsidRDefault="00640DD3" w:rsidP="00640DD3">
      <w:pPr>
        <w:jc w:val="center"/>
        <w:rPr>
          <w:rFonts w:ascii="Arial" w:hAnsi="Arial" w:cs="Arial"/>
          <w:b/>
          <w:sz w:val="22"/>
          <w:szCs w:val="22"/>
        </w:rPr>
      </w:pPr>
      <w:r w:rsidRPr="000E2D73">
        <w:rPr>
          <w:rFonts w:ascii="Arial" w:hAnsi="Arial" w:cs="Arial"/>
          <w:b/>
          <w:sz w:val="22"/>
          <w:szCs w:val="22"/>
        </w:rPr>
        <w:t>Notenschlüssel für die Vergabe der absoluten Noten an unserer Fakul</w:t>
      </w:r>
      <w:r w:rsidR="0015219E">
        <w:rPr>
          <w:rFonts w:ascii="Arial" w:hAnsi="Arial" w:cs="Arial"/>
          <w:b/>
          <w:sz w:val="22"/>
          <w:szCs w:val="22"/>
        </w:rPr>
        <w:t>t</w:t>
      </w:r>
      <w:r w:rsidRPr="000E2D73">
        <w:rPr>
          <w:rFonts w:ascii="Arial" w:hAnsi="Arial" w:cs="Arial"/>
          <w:b/>
          <w:sz w:val="22"/>
          <w:szCs w:val="22"/>
        </w:rPr>
        <w:t>ät</w:t>
      </w:r>
    </w:p>
    <w:p w:rsidR="00560153" w:rsidRPr="000E2D73" w:rsidRDefault="00D415F9" w:rsidP="00D415F9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0E2D73">
        <w:rPr>
          <w:rFonts w:ascii="Arial" w:hAnsi="Arial" w:cs="Arial"/>
          <w:b/>
          <w:i/>
          <w:sz w:val="22"/>
          <w:szCs w:val="22"/>
          <w:lang w:val="en-US"/>
        </w:rPr>
        <w:t>Key to the Grading System of our Faculty</w:t>
      </w:r>
    </w:p>
    <w:p w:rsidR="00560153" w:rsidRPr="000E2D73" w:rsidRDefault="00560153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843"/>
        <w:gridCol w:w="1239"/>
      </w:tblGrid>
      <w:tr w:rsidR="00A573C1" w:rsidRPr="004A4ADC" w:rsidTr="004A4ADC">
        <w:tc>
          <w:tcPr>
            <w:tcW w:w="1576" w:type="dxa"/>
          </w:tcPr>
          <w:p w:rsidR="00A573C1" w:rsidRPr="004A4ADC" w:rsidRDefault="00A573C1" w:rsidP="004A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1,00 – 1,50</w:t>
            </w:r>
          </w:p>
        </w:tc>
        <w:tc>
          <w:tcPr>
            <w:tcW w:w="1843" w:type="dxa"/>
          </w:tcPr>
          <w:p w:rsidR="00A573C1" w:rsidRPr="004A4ADC" w:rsidRDefault="00A573C1">
            <w:pPr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1239" w:type="dxa"/>
          </w:tcPr>
          <w:p w:rsidR="00A573C1" w:rsidRPr="004A4ADC" w:rsidRDefault="00A573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ADC">
              <w:rPr>
                <w:rFonts w:ascii="Arial" w:hAnsi="Arial" w:cs="Arial"/>
                <w:i/>
                <w:sz w:val="20"/>
                <w:szCs w:val="20"/>
              </w:rPr>
              <w:t>excellent</w:t>
            </w:r>
          </w:p>
        </w:tc>
      </w:tr>
      <w:tr w:rsidR="00A573C1" w:rsidRPr="004A4ADC" w:rsidTr="004A4ADC">
        <w:tc>
          <w:tcPr>
            <w:tcW w:w="1576" w:type="dxa"/>
          </w:tcPr>
          <w:p w:rsidR="00A573C1" w:rsidRPr="004A4ADC" w:rsidRDefault="00A573C1" w:rsidP="004A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1,51 – 2,50</w:t>
            </w:r>
          </w:p>
        </w:tc>
        <w:tc>
          <w:tcPr>
            <w:tcW w:w="1843" w:type="dxa"/>
          </w:tcPr>
          <w:p w:rsidR="00A573C1" w:rsidRPr="004A4ADC" w:rsidRDefault="00A573C1">
            <w:pPr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1239" w:type="dxa"/>
          </w:tcPr>
          <w:p w:rsidR="00A573C1" w:rsidRPr="004A4ADC" w:rsidRDefault="00A573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ADC">
              <w:rPr>
                <w:rFonts w:ascii="Arial" w:hAnsi="Arial" w:cs="Arial"/>
                <w:i/>
                <w:sz w:val="20"/>
                <w:szCs w:val="20"/>
              </w:rPr>
              <w:t>good</w:t>
            </w:r>
          </w:p>
        </w:tc>
      </w:tr>
      <w:tr w:rsidR="00A573C1" w:rsidRPr="004A4ADC" w:rsidTr="004A4ADC">
        <w:tc>
          <w:tcPr>
            <w:tcW w:w="1576" w:type="dxa"/>
          </w:tcPr>
          <w:p w:rsidR="00A573C1" w:rsidRPr="004A4ADC" w:rsidRDefault="00A573C1" w:rsidP="004A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2,51 – 3,50</w:t>
            </w:r>
          </w:p>
        </w:tc>
        <w:tc>
          <w:tcPr>
            <w:tcW w:w="1843" w:type="dxa"/>
          </w:tcPr>
          <w:p w:rsidR="00A573C1" w:rsidRPr="004A4ADC" w:rsidRDefault="00A573C1">
            <w:pPr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1239" w:type="dxa"/>
          </w:tcPr>
          <w:p w:rsidR="00A573C1" w:rsidRPr="004A4ADC" w:rsidRDefault="00A573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ADC">
              <w:rPr>
                <w:rFonts w:ascii="Arial" w:hAnsi="Arial" w:cs="Arial"/>
                <w:i/>
                <w:sz w:val="20"/>
                <w:szCs w:val="20"/>
              </w:rPr>
              <w:t>satisfactory</w:t>
            </w:r>
          </w:p>
        </w:tc>
      </w:tr>
      <w:tr w:rsidR="00A573C1" w:rsidRPr="004A4ADC" w:rsidTr="004A4ADC">
        <w:tc>
          <w:tcPr>
            <w:tcW w:w="1576" w:type="dxa"/>
          </w:tcPr>
          <w:p w:rsidR="00A573C1" w:rsidRPr="004A4ADC" w:rsidRDefault="00A573C1" w:rsidP="004A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3,51 – 4,00</w:t>
            </w:r>
          </w:p>
        </w:tc>
        <w:tc>
          <w:tcPr>
            <w:tcW w:w="1843" w:type="dxa"/>
          </w:tcPr>
          <w:p w:rsidR="00A573C1" w:rsidRPr="004A4ADC" w:rsidRDefault="00A573C1">
            <w:pPr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1239" w:type="dxa"/>
          </w:tcPr>
          <w:p w:rsidR="00A573C1" w:rsidRPr="004A4ADC" w:rsidRDefault="00A573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ADC">
              <w:rPr>
                <w:rFonts w:ascii="Arial" w:hAnsi="Arial" w:cs="Arial"/>
                <w:i/>
                <w:sz w:val="20"/>
                <w:szCs w:val="20"/>
              </w:rPr>
              <w:t>sufficient</w:t>
            </w:r>
          </w:p>
        </w:tc>
      </w:tr>
      <w:tr w:rsidR="00A573C1" w:rsidRPr="004A4ADC" w:rsidTr="004A4ADC">
        <w:tc>
          <w:tcPr>
            <w:tcW w:w="1576" w:type="dxa"/>
          </w:tcPr>
          <w:p w:rsidR="00A573C1" w:rsidRPr="004A4ADC" w:rsidRDefault="00A573C1" w:rsidP="004A4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&gt; 4,00</w:t>
            </w:r>
          </w:p>
        </w:tc>
        <w:tc>
          <w:tcPr>
            <w:tcW w:w="1843" w:type="dxa"/>
          </w:tcPr>
          <w:p w:rsidR="00A573C1" w:rsidRPr="004A4ADC" w:rsidRDefault="00A573C1">
            <w:pPr>
              <w:rPr>
                <w:rFonts w:ascii="Arial" w:hAnsi="Arial" w:cs="Arial"/>
                <w:sz w:val="20"/>
                <w:szCs w:val="20"/>
              </w:rPr>
            </w:pPr>
            <w:r w:rsidRPr="004A4ADC">
              <w:rPr>
                <w:rFonts w:ascii="Arial" w:hAnsi="Arial" w:cs="Arial"/>
                <w:sz w:val="20"/>
                <w:szCs w:val="20"/>
              </w:rPr>
              <w:t>nicht ausreichend</w:t>
            </w:r>
          </w:p>
        </w:tc>
        <w:tc>
          <w:tcPr>
            <w:tcW w:w="1239" w:type="dxa"/>
          </w:tcPr>
          <w:p w:rsidR="00A573C1" w:rsidRPr="004A4ADC" w:rsidRDefault="00A573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A4ADC">
              <w:rPr>
                <w:rFonts w:ascii="Arial" w:hAnsi="Arial" w:cs="Arial"/>
                <w:i/>
                <w:sz w:val="20"/>
                <w:szCs w:val="20"/>
              </w:rPr>
              <w:t>failed</w:t>
            </w:r>
          </w:p>
        </w:tc>
      </w:tr>
    </w:tbl>
    <w:p w:rsidR="000E2D73" w:rsidRPr="000E2D73" w:rsidRDefault="000E2D73" w:rsidP="00D415F9">
      <w:pPr>
        <w:jc w:val="right"/>
        <w:rPr>
          <w:rFonts w:ascii="Arial" w:hAnsi="Arial" w:cs="Arial"/>
          <w:sz w:val="20"/>
          <w:szCs w:val="20"/>
        </w:rPr>
      </w:pPr>
    </w:p>
    <w:p w:rsidR="000E2D73" w:rsidRDefault="000E2D73" w:rsidP="00D415F9">
      <w:pPr>
        <w:jc w:val="right"/>
        <w:rPr>
          <w:rFonts w:ascii="Arial" w:hAnsi="Arial" w:cs="Arial"/>
          <w:sz w:val="20"/>
          <w:szCs w:val="20"/>
        </w:rPr>
      </w:pPr>
    </w:p>
    <w:p w:rsidR="000E2D73" w:rsidRDefault="000E2D73" w:rsidP="00D415F9">
      <w:pPr>
        <w:jc w:val="right"/>
        <w:rPr>
          <w:rFonts w:ascii="Arial" w:hAnsi="Arial" w:cs="Arial"/>
          <w:sz w:val="20"/>
          <w:szCs w:val="20"/>
        </w:rPr>
      </w:pPr>
    </w:p>
    <w:p w:rsidR="00D415F9" w:rsidRPr="006C0546" w:rsidRDefault="00FE5046" w:rsidP="00FE5046">
      <w:pPr>
        <w:ind w:left="637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8065F0">
        <w:rPr>
          <w:rFonts w:ascii="Arial" w:hAnsi="Arial" w:cs="Arial"/>
          <w:sz w:val="18"/>
          <w:szCs w:val="18"/>
        </w:rPr>
        <w:t>Göttingen, 14</w:t>
      </w:r>
      <w:r w:rsidR="006C0546" w:rsidRPr="006C0546">
        <w:rPr>
          <w:rFonts w:ascii="Arial" w:hAnsi="Arial" w:cs="Arial"/>
          <w:sz w:val="18"/>
          <w:szCs w:val="18"/>
        </w:rPr>
        <w:t>.</w:t>
      </w:r>
      <w:r w:rsidR="008065F0">
        <w:rPr>
          <w:rFonts w:ascii="Arial" w:hAnsi="Arial" w:cs="Arial"/>
          <w:sz w:val="18"/>
          <w:szCs w:val="18"/>
        </w:rPr>
        <w:t>12</w:t>
      </w:r>
      <w:r w:rsidR="006C0546" w:rsidRPr="006C0546">
        <w:rPr>
          <w:rFonts w:ascii="Arial" w:hAnsi="Arial" w:cs="Arial"/>
          <w:sz w:val="18"/>
          <w:szCs w:val="18"/>
        </w:rPr>
        <w:t>.</w:t>
      </w:r>
      <w:r w:rsidR="00D415F9" w:rsidRPr="006C0546">
        <w:rPr>
          <w:rFonts w:ascii="Arial" w:hAnsi="Arial" w:cs="Arial"/>
          <w:sz w:val="18"/>
          <w:szCs w:val="18"/>
        </w:rPr>
        <w:t>20</w:t>
      </w:r>
      <w:r w:rsidR="003F3F0D">
        <w:rPr>
          <w:rFonts w:ascii="Arial" w:hAnsi="Arial" w:cs="Arial"/>
          <w:sz w:val="18"/>
          <w:szCs w:val="18"/>
        </w:rPr>
        <w:t>10</w:t>
      </w:r>
    </w:p>
    <w:sectPr w:rsidR="00D415F9" w:rsidRPr="006C0546" w:rsidSect="000E2D7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47" w:right="1134" w:bottom="1134" w:left="1134" w:header="1077" w:footer="425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1E" w:rsidRDefault="00417C1E">
      <w:r>
        <w:separator/>
      </w:r>
    </w:p>
  </w:endnote>
  <w:endnote w:type="continuationSeparator" w:id="0">
    <w:p w:rsidR="00417C1E" w:rsidRDefault="0041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BB" w:rsidRPr="00290822" w:rsidRDefault="00687BBB" w:rsidP="00290822">
    <w:pPr>
      <w:pStyle w:val="Fuzeile"/>
      <w:rPr>
        <w:rFonts w:ascii="Arial" w:hAnsi="Arial" w:cs="Arial"/>
        <w:sz w:val="16"/>
        <w:szCs w:val="16"/>
      </w:rPr>
    </w:pPr>
  </w:p>
  <w:p w:rsidR="00687BBB" w:rsidRPr="00290822" w:rsidRDefault="00687BBB" w:rsidP="00290822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BB" w:rsidRPr="004A4ADC" w:rsidRDefault="00687BBB">
    <w:pPr>
      <w:pStyle w:val="Fuzeile"/>
      <w:rPr>
        <w:rFonts w:ascii="Arial" w:hAnsi="Arial" w:cs="Arial"/>
        <w:sz w:val="16"/>
        <w:szCs w:val="16"/>
      </w:rPr>
    </w:pPr>
    <w:r w:rsidRPr="004A4ADC">
      <w:rPr>
        <w:rFonts w:ascii="Arial" w:hAnsi="Arial" w:cs="Arial"/>
        <w:sz w:val="16"/>
        <w:szCs w:val="16"/>
      </w:rPr>
      <w:t>Platz der Göttinger Sieben 3</w:t>
    </w:r>
    <w:r w:rsidRPr="004A4ADC">
      <w:rPr>
        <w:rFonts w:ascii="Arial" w:hAnsi="Arial" w:cs="Arial"/>
        <w:sz w:val="16"/>
        <w:szCs w:val="16"/>
      </w:rPr>
      <w:tab/>
    </w:r>
    <w:r w:rsidRPr="004A4ADC">
      <w:rPr>
        <w:rFonts w:ascii="Arial" w:hAnsi="Arial" w:cs="Arial"/>
        <w:sz w:val="16"/>
        <w:szCs w:val="16"/>
      </w:rPr>
      <w:tab/>
      <w:t>wiwipa@uni-goettingen.de</w:t>
    </w:r>
  </w:p>
  <w:p w:rsidR="00687BBB" w:rsidRPr="004A4ADC" w:rsidRDefault="00687BBB">
    <w:pPr>
      <w:pStyle w:val="Fuzeile"/>
      <w:rPr>
        <w:rFonts w:ascii="Arial" w:hAnsi="Arial" w:cs="Arial"/>
        <w:sz w:val="16"/>
        <w:szCs w:val="16"/>
      </w:rPr>
    </w:pPr>
    <w:r w:rsidRPr="004A4ADC">
      <w:rPr>
        <w:rFonts w:ascii="Arial" w:hAnsi="Arial" w:cs="Arial"/>
        <w:sz w:val="16"/>
        <w:szCs w:val="16"/>
      </w:rPr>
      <w:t>37073 Göttingen, Germany</w:t>
    </w:r>
    <w:r w:rsidRPr="004A4ADC">
      <w:rPr>
        <w:rFonts w:ascii="Arial" w:hAnsi="Arial" w:cs="Arial"/>
        <w:sz w:val="16"/>
        <w:szCs w:val="16"/>
      </w:rPr>
      <w:tab/>
    </w:r>
    <w:r w:rsidRPr="004A4ADC">
      <w:rPr>
        <w:rFonts w:ascii="Arial" w:hAnsi="Arial" w:cs="Arial"/>
        <w:sz w:val="16"/>
        <w:szCs w:val="16"/>
      </w:rPr>
      <w:tab/>
      <w:t>www.wopag.wiso.uni-goettingen.de</w:t>
    </w:r>
  </w:p>
  <w:p w:rsidR="00687BBB" w:rsidRPr="00E773DD" w:rsidRDefault="00687BBB" w:rsidP="00290822">
    <w:pPr>
      <w:tabs>
        <w:tab w:val="left" w:pos="2835"/>
        <w:tab w:val="left" w:pos="5670"/>
        <w:tab w:val="right" w:pos="96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1E" w:rsidRDefault="00417C1E">
      <w:r>
        <w:separator/>
      </w:r>
    </w:p>
  </w:footnote>
  <w:footnote w:type="continuationSeparator" w:id="0">
    <w:p w:rsidR="00417C1E" w:rsidRDefault="0041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BB" w:rsidRDefault="00687BBB" w:rsidP="0029082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87BBB" w:rsidRDefault="00687BBB" w:rsidP="00290822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BB" w:rsidRDefault="00687BBB" w:rsidP="00487D8B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Pr="00290822">
      <w:rPr>
        <w:rStyle w:val="Seitenzahl"/>
        <w:rFonts w:ascii="Arial" w:hAnsi="Arial" w:cs="Arial"/>
        <w:sz w:val="20"/>
        <w:szCs w:val="20"/>
      </w:rPr>
      <w:fldChar w:fldCharType="begin"/>
    </w:r>
    <w:r w:rsidRPr="0029082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290822"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2</w:t>
    </w:r>
    <w:r w:rsidRPr="00290822">
      <w:rPr>
        <w:rStyle w:val="Seitenzahl"/>
        <w:rFonts w:ascii="Arial" w:hAnsi="Arial" w:cs="Arial"/>
        <w:sz w:val="20"/>
        <w:szCs w:val="20"/>
      </w:rPr>
      <w:fldChar w:fldCharType="end"/>
    </w:r>
  </w:p>
  <w:p w:rsidR="00687BBB" w:rsidRPr="00290822" w:rsidRDefault="00687BBB" w:rsidP="00487D8B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BB" w:rsidRDefault="00997C2B" w:rsidP="00290822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3810</wp:posOffset>
          </wp:positionH>
          <wp:positionV relativeFrom="margin">
            <wp:posOffset>-450215</wp:posOffset>
          </wp:positionV>
          <wp:extent cx="6172200" cy="723900"/>
          <wp:effectExtent l="19050" t="0" r="0" b="0"/>
          <wp:wrapNone/>
          <wp:docPr id="12" name="Bild 12" descr="briefkopfgrafik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iefkopfgrafik_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7BBB" w:rsidRPr="00B86A67">
      <w:rPr>
        <w:rFonts w:ascii="Arial" w:hAnsi="Arial" w:cs="Arial"/>
        <w:color w:val="000080"/>
        <w:sz w:val="26"/>
        <w:szCs w:val="26"/>
      </w:rPr>
      <w:tab/>
    </w:r>
  </w:p>
  <w:p w:rsidR="00687BBB" w:rsidRPr="00B86A67" w:rsidRDefault="00687BBB" w:rsidP="00290822">
    <w:pPr>
      <w:pStyle w:val="Kopfzeile"/>
      <w:tabs>
        <w:tab w:val="clear" w:pos="4536"/>
        <w:tab w:val="clear" w:pos="9072"/>
        <w:tab w:val="right" w:pos="9639"/>
      </w:tabs>
      <w:jc w:val="both"/>
      <w:rPr>
        <w:rFonts w:ascii="Arial" w:hAnsi="Arial" w:cs="Arial"/>
        <w:color w:val="C0C0C0"/>
        <w:sz w:val="26"/>
        <w:szCs w:val="26"/>
      </w:rPr>
    </w:pPr>
    <w:r w:rsidRPr="00B86A67">
      <w:rPr>
        <w:rFonts w:ascii="Arial" w:hAnsi="Arial" w:cs="Arial"/>
        <w:color w:val="C0C0C0"/>
        <w:sz w:val="26"/>
        <w:szCs w:val="2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5225"/>
    <w:rsid w:val="00012AD7"/>
    <w:rsid w:val="00013CC4"/>
    <w:rsid w:val="0002428E"/>
    <w:rsid w:val="000951C5"/>
    <w:rsid w:val="000E2D73"/>
    <w:rsid w:val="001035BE"/>
    <w:rsid w:val="0010551C"/>
    <w:rsid w:val="0015219E"/>
    <w:rsid w:val="00176350"/>
    <w:rsid w:val="00194282"/>
    <w:rsid w:val="001F4D21"/>
    <w:rsid w:val="00236E83"/>
    <w:rsid w:val="00290822"/>
    <w:rsid w:val="002930EB"/>
    <w:rsid w:val="0029487E"/>
    <w:rsid w:val="002E23E3"/>
    <w:rsid w:val="002E6339"/>
    <w:rsid w:val="00377A46"/>
    <w:rsid w:val="00380C14"/>
    <w:rsid w:val="003C79A3"/>
    <w:rsid w:val="003D2C38"/>
    <w:rsid w:val="003D52E8"/>
    <w:rsid w:val="003F14B4"/>
    <w:rsid w:val="003F3F0D"/>
    <w:rsid w:val="00417C1E"/>
    <w:rsid w:val="00425A96"/>
    <w:rsid w:val="00454FE7"/>
    <w:rsid w:val="00473201"/>
    <w:rsid w:val="00475A50"/>
    <w:rsid w:val="00487D8B"/>
    <w:rsid w:val="004A4ADC"/>
    <w:rsid w:val="004D240A"/>
    <w:rsid w:val="00523B35"/>
    <w:rsid w:val="00525470"/>
    <w:rsid w:val="00533DD5"/>
    <w:rsid w:val="00536800"/>
    <w:rsid w:val="00560153"/>
    <w:rsid w:val="005B1F24"/>
    <w:rsid w:val="00640DD3"/>
    <w:rsid w:val="00643896"/>
    <w:rsid w:val="00645CD2"/>
    <w:rsid w:val="00653DAE"/>
    <w:rsid w:val="006856B3"/>
    <w:rsid w:val="00687BBB"/>
    <w:rsid w:val="006C0546"/>
    <w:rsid w:val="006C5EEA"/>
    <w:rsid w:val="0070380C"/>
    <w:rsid w:val="00747B2E"/>
    <w:rsid w:val="00791A84"/>
    <w:rsid w:val="007952C7"/>
    <w:rsid w:val="007A11CC"/>
    <w:rsid w:val="007E21ED"/>
    <w:rsid w:val="008065F0"/>
    <w:rsid w:val="008223C2"/>
    <w:rsid w:val="008825E4"/>
    <w:rsid w:val="00894328"/>
    <w:rsid w:val="008A4C99"/>
    <w:rsid w:val="009010BC"/>
    <w:rsid w:val="00915437"/>
    <w:rsid w:val="00927322"/>
    <w:rsid w:val="0094021F"/>
    <w:rsid w:val="00940E7F"/>
    <w:rsid w:val="00993543"/>
    <w:rsid w:val="00997C2B"/>
    <w:rsid w:val="009D3A22"/>
    <w:rsid w:val="009F7F08"/>
    <w:rsid w:val="00A056EC"/>
    <w:rsid w:val="00A27293"/>
    <w:rsid w:val="00A272B5"/>
    <w:rsid w:val="00A573C1"/>
    <w:rsid w:val="00A76933"/>
    <w:rsid w:val="00A9704A"/>
    <w:rsid w:val="00AE2C62"/>
    <w:rsid w:val="00AF51C7"/>
    <w:rsid w:val="00B86A67"/>
    <w:rsid w:val="00B92965"/>
    <w:rsid w:val="00BA4A08"/>
    <w:rsid w:val="00BB6522"/>
    <w:rsid w:val="00BF5931"/>
    <w:rsid w:val="00C45225"/>
    <w:rsid w:val="00C53B67"/>
    <w:rsid w:val="00D415F9"/>
    <w:rsid w:val="00DC2303"/>
    <w:rsid w:val="00E3363C"/>
    <w:rsid w:val="00E70D41"/>
    <w:rsid w:val="00E721DF"/>
    <w:rsid w:val="00E773DD"/>
    <w:rsid w:val="00F1687B"/>
    <w:rsid w:val="00F25FF9"/>
    <w:rsid w:val="00F970D7"/>
    <w:rsid w:val="00FA57D5"/>
    <w:rsid w:val="00FB027E"/>
    <w:rsid w:val="00FD2E35"/>
    <w:rsid w:val="00FD7F86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33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272B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character" w:styleId="Hyperlink">
    <w:name w:val="Hyperlink"/>
    <w:basedOn w:val="Absatz-Standardschriftart"/>
    <w:rsid w:val="00E773D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272B5"/>
    <w:rPr>
      <w:rFonts w:ascii="Cambria" w:hAnsi="Cambria"/>
      <w:b/>
      <w:bCs/>
      <w:color w:val="365F91"/>
      <w:sz w:val="28"/>
      <w:szCs w:val="28"/>
      <w:lang w:val="de-DE" w:eastAsia="de-DE" w:bidi="ar-SA"/>
    </w:rPr>
  </w:style>
  <w:style w:type="table" w:styleId="Tabellengitternetz">
    <w:name w:val="Table Grid"/>
    <w:basedOn w:val="NormaleTabelle"/>
    <w:rsid w:val="0001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5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B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A4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iller\Anwendungsdaten\Microsoft\Vorlagen\WiWi%20Pa%20Schiller%20i%20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WiWi Pa Schiller i A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</dc:creator>
  <cp:keywords/>
  <dc:description/>
  <cp:lastModifiedBy>safar</cp:lastModifiedBy>
  <cp:revision>7</cp:revision>
  <cp:lastPrinted>2010-05-18T09:51:00Z</cp:lastPrinted>
  <dcterms:created xsi:type="dcterms:W3CDTF">2010-12-14T13:25:00Z</dcterms:created>
  <dcterms:modified xsi:type="dcterms:W3CDTF">2010-12-14T14:04:00Z</dcterms:modified>
</cp:coreProperties>
</file>